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Undo_Change_font_17x27z36"/>
    <w:bookmarkEnd w:id="0"/>
    <w:p w14:paraId="78597392" w14:textId="46C79B2C" w:rsidR="00BF01E0" w:rsidRDefault="00D54666" w:rsidP="00252C91">
      <w:pPr>
        <w:pStyle w:val="BodyText"/>
        <w:jc w:val="both"/>
        <w:rPr>
          <w:noProof/>
          <w:lang w:eastAsia="en-GB"/>
        </w:rPr>
      </w:pPr>
      <w:r w:rsidRPr="00A87365">
        <w:rPr>
          <w:noProof/>
          <w:lang w:eastAsia="en-GB"/>
        </w:rPr>
        <mc:AlternateContent>
          <mc:Choice Requires="wps">
            <w:drawing>
              <wp:anchor distT="0" distB="0" distL="114300" distR="114300" simplePos="0" relativeHeight="251660288" behindDoc="1" locked="0" layoutInCell="0" allowOverlap="1" wp14:anchorId="7B90BD30" wp14:editId="3E86C5B8">
                <wp:simplePos x="0" y="0"/>
                <wp:positionH relativeFrom="page">
                  <wp:align>left</wp:align>
                </wp:positionH>
                <wp:positionV relativeFrom="page">
                  <wp:align>top</wp:align>
                </wp:positionV>
                <wp:extent cx="7251700" cy="10607040"/>
                <wp:effectExtent l="0" t="0" r="2540" b="0"/>
                <wp:wrapNone/>
                <wp:docPr id="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1700" cy="10607040"/>
                        </a:xfrm>
                        <a:prstGeom prst="rect">
                          <a:avLst/>
                        </a:prstGeom>
                        <a:solidFill>
                          <a:srgbClr val="008768"/>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page">
                  <wp14:pctWidth>100000</wp14:pctWidth>
                </wp14:sizeRelH>
                <wp14:sizeRelV relativeFrom="page">
                  <wp14:pctHeight>100000</wp14:pctHeight>
                </wp14:sizeRelV>
              </wp:anchor>
            </w:drawing>
          </mc:Choice>
          <mc:Fallback>
            <w:pict>
              <v:rect w14:anchorId="02B0D56C" id="Rectangle 2" o:spid="_x0000_s1026" alt="&quot;&quot;" style="position:absolute;margin-left:0;margin-top:0;width:571pt;height:835.2pt;z-index:-251656192;visibility:visible;mso-wrap-style:square;mso-width-percent:1000;mso-height-percent:1000;mso-wrap-distance-left:9pt;mso-wrap-distance-top:0;mso-wrap-distance-right:9pt;mso-wrap-distance-bottom:0;mso-position-horizontal:left;mso-position-horizontal-relative:page;mso-position-vertical:top;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" o:allowincell="f" fillcolor="#008768" stroked="f" strokeweight="2pt">
                <w10:wrap anchorx="page" anchory="page"/>
              </v:rect>
            </w:pict>
          </mc:Fallback>
        </mc:AlternateContent>
      </w:r>
    </w:p>
    <w:p w14:paraId="1AB3A266" w14:textId="77777777" w:rsidR="00F12DD7" w:rsidRDefault="00F12DD7" w:rsidP="00252C91">
      <w:pPr>
        <w:pStyle w:val="BodyText"/>
        <w:jc w:val="both"/>
      </w:pPr>
    </w:p>
    <w:p w14:paraId="7869EE5B" w14:textId="6664AD6B" w:rsidR="00F12DD7" w:rsidRDefault="00514B9E" w:rsidP="00252C91">
      <w:pPr>
        <w:pStyle w:val="BodyText"/>
        <w:jc w:val="both"/>
      </w:pPr>
      <w:r>
        <w:rPr>
          <w:noProof/>
          <w:lang w:eastAsia="en-GB"/>
        </w:rPr>
        <mc:AlternateContent>
          <mc:Choice Requires="wps">
            <w:drawing>
              <wp:anchor distT="0" distB="0" distL="114300" distR="114300" simplePos="0" relativeHeight="251654144" behindDoc="0" locked="0" layoutInCell="0" allowOverlap="1" wp14:anchorId="25A3D25F" wp14:editId="7AB89D1A">
                <wp:simplePos x="0" y="0"/>
                <wp:positionH relativeFrom="margin">
                  <wp:posOffset>-254442</wp:posOffset>
                </wp:positionH>
                <wp:positionV relativeFrom="page">
                  <wp:posOffset>4206240</wp:posOffset>
                </wp:positionV>
                <wp:extent cx="5983522" cy="3081655"/>
                <wp:effectExtent l="0" t="0" r="0" b="69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522" cy="3081655"/>
                        </a:xfrm>
                        <a:prstGeom prst="rect">
                          <a:avLst/>
                        </a:prstGeom>
                        <a:noFill/>
                        <a:ln w="9525">
                          <a:noFill/>
                          <a:miter lim="800000"/>
                          <a:headEnd/>
                          <a:tailEnd/>
                        </a:ln>
                      </wps:spPr>
                      <wps:txbx>
                        <w:txbxContent>
                          <w:tbl>
                            <w:tblPr>
                              <w:tblStyle w:val="Plaingrid"/>
                              <w:tblW w:w="3483" w:type="pct"/>
                              <w:tblLook w:val="04A0" w:firstRow="1" w:lastRow="0" w:firstColumn="1" w:lastColumn="0" w:noHBand="0" w:noVBand="1"/>
                            </w:tblPr>
                            <w:tblGrid>
                              <w:gridCol w:w="6564"/>
                            </w:tblGrid>
                            <w:tr w:rsidR="00B67A71" w:rsidRPr="00B20C8D" w14:paraId="65932031" w14:textId="77777777" w:rsidTr="00D50E1B">
                              <w:trPr>
                                <w:trHeight w:val="3547"/>
                              </w:trPr>
                              <w:tc>
                                <w:tcPr>
                                  <w:tcW w:w="6434" w:type="dxa"/>
                                </w:tcPr>
                                <w:p w14:paraId="6FD020CC" w14:textId="3EF3902A" w:rsidR="00B67A71" w:rsidRPr="001E453D" w:rsidRDefault="003918D8" w:rsidP="00B20C8D">
                                  <w:pPr>
                                    <w:pStyle w:val="Title"/>
                                    <w:rPr>
                                      <w:color w:val="FFFFFF"/>
                                      <w:sz w:val="56"/>
                                      <w:szCs w:val="72"/>
                                    </w:rPr>
                                  </w:pPr>
                                  <w:bookmarkStart w:id="1" w:name="Cover1" w:colFirst="0" w:colLast="1"/>
                                  <w:bookmarkStart w:id="2" w:name="CoverTable1"/>
                                  <w:r>
                                    <w:rPr>
                                      <w:color w:val="FFFFFF"/>
                                      <w:sz w:val="56"/>
                                      <w:szCs w:val="72"/>
                                    </w:rPr>
                                    <w:t xml:space="preserve">Consett </w:t>
                                  </w:r>
                                </w:p>
                                <w:p w14:paraId="1E8715FE" w14:textId="77777777" w:rsidR="00B67A71" w:rsidRPr="001E453D" w:rsidRDefault="00B67A71" w:rsidP="00B20C8D">
                                  <w:pPr>
                                    <w:pStyle w:val="Subtitleheading"/>
                                    <w:rPr>
                                      <w:color w:val="FFFFFF"/>
                                      <w:sz w:val="32"/>
                                      <w:szCs w:val="32"/>
                                    </w:rPr>
                                  </w:pPr>
                                  <w:r w:rsidRPr="001E453D">
                                    <w:rPr>
                                      <w:color w:val="FFFFFF"/>
                                      <w:sz w:val="32"/>
                                      <w:szCs w:val="32"/>
                                    </w:rPr>
                                    <w:fldChar w:fldCharType="begin"/>
                                  </w:r>
                                  <w:r w:rsidRPr="001E453D">
                                    <w:rPr>
                                      <w:color w:val="FFFFFF"/>
                                      <w:sz w:val="32"/>
                                      <w:szCs w:val="32"/>
                                    </w:rPr>
                                    <w:instrText xml:space="preserve"> DOCPROPERTY  SubTitle \* MERGEFORMAT </w:instrText>
                                  </w:r>
                                  <w:r w:rsidRPr="001E453D">
                                    <w:rPr>
                                      <w:color w:val="FFFFFF"/>
                                      <w:sz w:val="32"/>
                                      <w:szCs w:val="32"/>
                                    </w:rPr>
                                    <w:fldChar w:fldCharType="separate"/>
                                  </w:r>
                                  <w:r w:rsidRPr="001E453D">
                                    <w:rPr>
                                      <w:color w:val="FFFFFF"/>
                                      <w:sz w:val="32"/>
                                      <w:szCs w:val="32"/>
                                    </w:rPr>
                                    <w:t>Housing Needs Assessment (HNA)</w:t>
                                  </w:r>
                                  <w:r w:rsidRPr="001E453D">
                                    <w:rPr>
                                      <w:color w:val="FFFFFF"/>
                                      <w:sz w:val="32"/>
                                      <w:szCs w:val="32"/>
                                    </w:rPr>
                                    <w:fldChar w:fldCharType="end"/>
                                  </w:r>
                                </w:p>
                                <w:p w14:paraId="3F6369B2" w14:textId="77777777" w:rsidR="00B67A71" w:rsidRPr="001E453D" w:rsidRDefault="00B67A71" w:rsidP="00B20C8D">
                                  <w:pPr>
                                    <w:pStyle w:val="Subtitleheading"/>
                                    <w:rPr>
                                      <w:color w:val="FFFFFF"/>
                                      <w:sz w:val="32"/>
                                      <w:szCs w:val="32"/>
                                    </w:rPr>
                                  </w:pPr>
                                  <w:r w:rsidRPr="001E453D">
                                    <w:rPr>
                                      <w:color w:val="FFFFFF"/>
                                      <w:sz w:val="32"/>
                                      <w:szCs w:val="32"/>
                                    </w:rPr>
                                    <w:fldChar w:fldCharType="begin"/>
                                  </w:r>
                                  <w:r w:rsidRPr="001E453D">
                                    <w:rPr>
                                      <w:color w:val="FFFFFF"/>
                                      <w:sz w:val="32"/>
                                      <w:szCs w:val="32"/>
                                    </w:rPr>
                                    <w:instrText xml:space="preserve"> DOCPROPERTY  SupplementaryTitle \* MERGEFORMAT </w:instrText>
                                  </w:r>
                                  <w:r w:rsidRPr="001E453D">
                                    <w:rPr>
                                      <w:color w:val="FFFFFF"/>
                                      <w:sz w:val="32"/>
                                      <w:szCs w:val="32"/>
                                    </w:rPr>
                                    <w:fldChar w:fldCharType="end"/>
                                  </w:r>
                                </w:p>
                                <w:p w14:paraId="6F3A7A94" w14:textId="77777777" w:rsidR="00B67A71" w:rsidRPr="001E453D" w:rsidRDefault="00B67A71" w:rsidP="00B20C8D">
                                  <w:pPr>
                                    <w:pStyle w:val="Coverfooter"/>
                                    <w:rPr>
                                      <w:color w:val="FFFFFF"/>
                                      <w:sz w:val="20"/>
                                      <w:szCs w:val="32"/>
                                    </w:rPr>
                                  </w:pPr>
                                  <w:r w:rsidRPr="001E453D">
                                    <w:rPr>
                                      <w:color w:val="FFFFFF"/>
                                      <w:sz w:val="20"/>
                                      <w:szCs w:val="32"/>
                                    </w:rPr>
                                    <w:fldChar w:fldCharType="begin"/>
                                  </w:r>
                                  <w:r w:rsidRPr="001E453D">
                                    <w:rPr>
                                      <w:color w:val="FFFFFF"/>
                                      <w:sz w:val="20"/>
                                      <w:szCs w:val="32"/>
                                    </w:rPr>
                                    <w:instrText xml:space="preserve"> DOCPROPERTY  ProjectRef \* MERGEFORMAT </w:instrText>
                                  </w:r>
                                  <w:r w:rsidRPr="001E453D">
                                    <w:rPr>
                                      <w:color w:val="FFFFFF"/>
                                      <w:sz w:val="20"/>
                                      <w:szCs w:val="32"/>
                                    </w:rPr>
                                    <w:fldChar w:fldCharType="separate"/>
                                  </w:r>
                                  <w:r w:rsidRPr="001E453D">
                                    <w:rPr>
                                      <w:color w:val="FFFFFF"/>
                                      <w:sz w:val="20"/>
                                      <w:szCs w:val="32"/>
                                    </w:rPr>
                                    <w:t xml:space="preserve"> </w:t>
                                  </w:r>
                                  <w:r w:rsidRPr="001E453D">
                                    <w:rPr>
                                      <w:color w:val="FFFFFF"/>
                                      <w:sz w:val="20"/>
                                      <w:szCs w:val="32"/>
                                    </w:rPr>
                                    <w:fldChar w:fldCharType="end"/>
                                  </w:r>
                                </w:p>
                                <w:p w14:paraId="317D6931" w14:textId="77777777" w:rsidR="00B67A71" w:rsidRPr="001E453D" w:rsidRDefault="00B67A71" w:rsidP="00B20C8D">
                                  <w:pPr>
                                    <w:pStyle w:val="Coverfooter"/>
                                    <w:rPr>
                                      <w:color w:val="FFFFFF"/>
                                      <w:sz w:val="20"/>
                                      <w:szCs w:val="32"/>
                                    </w:rPr>
                                  </w:pPr>
                                  <w:r w:rsidRPr="001E453D">
                                    <w:rPr>
                                      <w:color w:val="FFFFFF"/>
                                      <w:sz w:val="20"/>
                                      <w:szCs w:val="32"/>
                                    </w:rPr>
                                    <w:fldChar w:fldCharType="begin"/>
                                  </w:r>
                                  <w:r w:rsidRPr="001E453D">
                                    <w:rPr>
                                      <w:color w:val="FFFFFF"/>
                                      <w:sz w:val="20"/>
                                      <w:szCs w:val="32"/>
                                    </w:rPr>
                                    <w:instrText xml:space="preserve"> DOCPROPERTY  ProjectNumber \* MERGEFORMAT </w:instrText>
                                  </w:r>
                                  <w:r w:rsidRPr="001E453D">
                                    <w:rPr>
                                      <w:color w:val="FFFFFF"/>
                                      <w:sz w:val="20"/>
                                      <w:szCs w:val="32"/>
                                    </w:rPr>
                                    <w:fldChar w:fldCharType="separate"/>
                                  </w:r>
                                  <w:r w:rsidRPr="001E453D">
                                    <w:rPr>
                                      <w:color w:val="FFFFFF"/>
                                      <w:sz w:val="20"/>
                                      <w:szCs w:val="32"/>
                                    </w:rPr>
                                    <w:t xml:space="preserve"> </w:t>
                                  </w:r>
                                  <w:r w:rsidRPr="001E453D">
                                    <w:rPr>
                                      <w:color w:val="FFFFFF"/>
                                      <w:sz w:val="20"/>
                                      <w:szCs w:val="32"/>
                                    </w:rPr>
                                    <w:fldChar w:fldCharType="end"/>
                                  </w:r>
                                </w:p>
                                <w:p w14:paraId="33394628" w14:textId="77777777" w:rsidR="00B67A71" w:rsidRPr="001E453D" w:rsidRDefault="00B67A71" w:rsidP="00B20C8D">
                                  <w:pPr>
                                    <w:pStyle w:val="Coverfooter"/>
                                    <w:rPr>
                                      <w:color w:val="FFFFFF"/>
                                      <w:sz w:val="20"/>
                                      <w:szCs w:val="32"/>
                                    </w:rPr>
                                  </w:pPr>
                                  <w:r w:rsidRPr="001E453D">
                                    <w:rPr>
                                      <w:color w:val="FFFFFF"/>
                                      <w:sz w:val="20"/>
                                      <w:szCs w:val="32"/>
                                    </w:rPr>
                                    <w:fldChar w:fldCharType="begin"/>
                                  </w:r>
                                  <w:r w:rsidRPr="001E453D">
                                    <w:rPr>
                                      <w:color w:val="FFFFFF"/>
                                      <w:sz w:val="20"/>
                                      <w:szCs w:val="32"/>
                                    </w:rPr>
                                    <w:instrText xml:space="preserve"> DOCPROPERTY  DocumentReference \* MERGEFORMAT </w:instrText>
                                  </w:r>
                                  <w:r w:rsidRPr="001E453D">
                                    <w:rPr>
                                      <w:color w:val="FFFFFF"/>
                                      <w:sz w:val="20"/>
                                      <w:szCs w:val="32"/>
                                    </w:rPr>
                                    <w:fldChar w:fldCharType="end"/>
                                  </w:r>
                                </w:p>
                                <w:p w14:paraId="37453FB4" w14:textId="77777777" w:rsidR="00B67A71" w:rsidRPr="001E453D" w:rsidRDefault="00B67A71" w:rsidP="00B20C8D">
                                  <w:pPr>
                                    <w:pStyle w:val="Coverfooter"/>
                                    <w:rPr>
                                      <w:color w:val="FFFFFF"/>
                                      <w:sz w:val="20"/>
                                      <w:szCs w:val="32"/>
                                    </w:rPr>
                                  </w:pPr>
                                </w:p>
                                <w:p w14:paraId="76A9A7B1" w14:textId="7BEC309F" w:rsidR="00B67A71" w:rsidRPr="00B20C8D" w:rsidRDefault="00BB3B52" w:rsidP="00B20C8D">
                                  <w:pPr>
                                    <w:pStyle w:val="Coverfooter"/>
                                    <w:rPr>
                                      <w:color w:val="FFFFFF"/>
                                    </w:rPr>
                                  </w:pPr>
                                  <w:r>
                                    <w:rPr>
                                      <w:color w:val="FFFFFF"/>
                                    </w:rPr>
                                    <w:t>December</w:t>
                                  </w:r>
                                  <w:r w:rsidR="003918D8">
                                    <w:rPr>
                                      <w:color w:val="FFFFFF"/>
                                    </w:rPr>
                                    <w:t>, 2024</w:t>
                                  </w:r>
                                </w:p>
                              </w:tc>
                            </w:tr>
                            <w:bookmarkEnd w:id="1"/>
                            <w:bookmarkEnd w:id="2"/>
                          </w:tbl>
                          <w:p w14:paraId="5846F169" w14:textId="77777777" w:rsidR="00B67A71" w:rsidRDefault="00B67A71" w:rsidP="00D50E1B"/>
                        </w:txbxContent>
                      </wps:txbx>
                      <wps:bodyPr rot="0" vert="horz" wrap="square" lIns="0" tIns="0" rIns="0" bIns="36000" anchor="t" anchorCtr="0">
                        <a:noAutofit/>
                      </wps:bodyPr>
                    </wps:wsp>
                  </a:graphicData>
                </a:graphic>
                <wp14:sizeRelH relativeFrom="margin">
                  <wp14:pctWidth>0</wp14:pctWidth>
                </wp14:sizeRelH>
                <wp14:sizeRelV relativeFrom="page">
                  <wp14:pctHeight>50000</wp14:pctHeight>
                </wp14:sizeRelV>
              </wp:anchor>
            </w:drawing>
          </mc:Choice>
          <mc:Fallback>
            <w:pict>
              <v:shapetype w14:anchorId="25A3D25F" id="_x0000_t202" coordsize="21600,21600" o:spt="202" path="m,l,21600r21600,l21600,xe">
                <v:stroke joinstyle="miter"/>
                <v:path gradientshapeok="t" o:connecttype="rect"/>
              </v:shapetype>
              <v:shape id="Text Box 7" o:spid="_x0000_s1026" type="#_x0000_t202" style="position:absolute;left:0;text-align:left;margin-left:-20.05pt;margin-top:331.2pt;width:471.15pt;height:242.65pt;z-index:251654144;visibility:visible;mso-wrap-style:square;mso-width-percent:0;mso-height-percent:500;mso-wrap-distance-left:9pt;mso-wrap-distance-top:0;mso-wrap-distance-right:9pt;mso-wrap-distance-bottom:0;mso-position-horizontal:absolute;mso-position-horizontal-relative:margin;mso-position-vertical:absolute;mso-position-vertical-relative:page;mso-width-percent:0;mso-height-percent:5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" o:allowincell="f" filled="f" stroked="f">
                <v:textbox inset="0,0,0,1mm">
                  <w:txbxContent>
                    <w:tbl>
                      <w:tblPr>
                        <w:tblStyle w:val="Plaingrid"/>
                        <w:tblW w:w="3483" w:type="pct"/>
                        <w:tblLook w:val="04A0" w:firstRow="1" w:lastRow="0" w:firstColumn="1" w:lastColumn="0" w:noHBand="0" w:noVBand="1"/>
                      </w:tblPr>
                      <w:tblGrid>
                        <w:gridCol w:w="6564"/>
                      </w:tblGrid>
                      <w:tr w:rsidR="00B67A71" w:rsidRPr="00B20C8D" w14:paraId="65932031" w14:textId="77777777" w:rsidTr="00D50E1B">
                        <w:trPr>
                          <w:trHeight w:val="3547"/>
                        </w:trPr>
                        <w:tc>
                          <w:tcPr>
                            <w:tcW w:w="6434" w:type="dxa"/>
                          </w:tcPr>
                          <w:p w14:paraId="6FD020CC" w14:textId="3EF3902A" w:rsidR="00B67A71" w:rsidRPr="001E453D" w:rsidRDefault="003918D8" w:rsidP="00B20C8D">
                            <w:pPr>
                              <w:pStyle w:val="Title"/>
                              <w:rPr>
                                <w:color w:val="FFFFFF"/>
                                <w:sz w:val="56"/>
                                <w:szCs w:val="72"/>
                              </w:rPr>
                            </w:pPr>
                            <w:bookmarkStart w:id="3" w:name="Cover1" w:colFirst="0" w:colLast="1"/>
                            <w:bookmarkStart w:id="4" w:name="CoverTable1"/>
                            <w:r>
                              <w:rPr>
                                <w:color w:val="FFFFFF"/>
                                <w:sz w:val="56"/>
                                <w:szCs w:val="72"/>
                              </w:rPr>
                              <w:t xml:space="preserve">Consett </w:t>
                            </w:r>
                          </w:p>
                          <w:p w14:paraId="1E8715FE" w14:textId="77777777" w:rsidR="00B67A71" w:rsidRPr="001E453D" w:rsidRDefault="00B67A71" w:rsidP="00B20C8D">
                            <w:pPr>
                              <w:pStyle w:val="Subtitleheading"/>
                              <w:rPr>
                                <w:color w:val="FFFFFF"/>
                                <w:sz w:val="32"/>
                                <w:szCs w:val="32"/>
                              </w:rPr>
                            </w:pPr>
                            <w:r w:rsidRPr="001E453D">
                              <w:rPr>
                                <w:color w:val="FFFFFF"/>
                                <w:sz w:val="32"/>
                                <w:szCs w:val="32"/>
                              </w:rPr>
                              <w:fldChar w:fldCharType="begin"/>
                            </w:r>
                            <w:r w:rsidRPr="001E453D">
                              <w:rPr>
                                <w:color w:val="FFFFFF"/>
                                <w:sz w:val="32"/>
                                <w:szCs w:val="32"/>
                              </w:rPr>
                              <w:instrText xml:space="preserve"> DOCPROPERTY  SubTitle \* MERGEFORMAT </w:instrText>
                            </w:r>
                            <w:r w:rsidRPr="001E453D">
                              <w:rPr>
                                <w:color w:val="FFFFFF"/>
                                <w:sz w:val="32"/>
                                <w:szCs w:val="32"/>
                              </w:rPr>
                              <w:fldChar w:fldCharType="separate"/>
                            </w:r>
                            <w:r w:rsidRPr="001E453D">
                              <w:rPr>
                                <w:color w:val="FFFFFF"/>
                                <w:sz w:val="32"/>
                                <w:szCs w:val="32"/>
                              </w:rPr>
                              <w:t>Housing Needs Assessment (HNA)</w:t>
                            </w:r>
                            <w:r w:rsidRPr="001E453D">
                              <w:rPr>
                                <w:color w:val="FFFFFF"/>
                                <w:sz w:val="32"/>
                                <w:szCs w:val="32"/>
                              </w:rPr>
                              <w:fldChar w:fldCharType="end"/>
                            </w:r>
                          </w:p>
                          <w:p w14:paraId="3F6369B2" w14:textId="77777777" w:rsidR="00B67A71" w:rsidRPr="001E453D" w:rsidRDefault="00B67A71" w:rsidP="00B20C8D">
                            <w:pPr>
                              <w:pStyle w:val="Subtitleheading"/>
                              <w:rPr>
                                <w:color w:val="FFFFFF"/>
                                <w:sz w:val="32"/>
                                <w:szCs w:val="32"/>
                              </w:rPr>
                            </w:pPr>
                            <w:r w:rsidRPr="001E453D">
                              <w:rPr>
                                <w:color w:val="FFFFFF"/>
                                <w:sz w:val="32"/>
                                <w:szCs w:val="32"/>
                              </w:rPr>
                              <w:fldChar w:fldCharType="begin"/>
                            </w:r>
                            <w:r w:rsidRPr="001E453D">
                              <w:rPr>
                                <w:color w:val="FFFFFF"/>
                                <w:sz w:val="32"/>
                                <w:szCs w:val="32"/>
                              </w:rPr>
                              <w:instrText xml:space="preserve"> DOCPROPERTY  SupplementaryTitle \* MERGEFORMAT </w:instrText>
                            </w:r>
                            <w:r w:rsidRPr="001E453D">
                              <w:rPr>
                                <w:color w:val="FFFFFF"/>
                                <w:sz w:val="32"/>
                                <w:szCs w:val="32"/>
                              </w:rPr>
                              <w:fldChar w:fldCharType="end"/>
                            </w:r>
                          </w:p>
                          <w:p w14:paraId="6F3A7A94" w14:textId="77777777" w:rsidR="00B67A71" w:rsidRPr="001E453D" w:rsidRDefault="00B67A71" w:rsidP="00B20C8D">
                            <w:pPr>
                              <w:pStyle w:val="Coverfooter"/>
                              <w:rPr>
                                <w:color w:val="FFFFFF"/>
                                <w:sz w:val="20"/>
                                <w:szCs w:val="32"/>
                              </w:rPr>
                            </w:pPr>
                            <w:r w:rsidRPr="001E453D">
                              <w:rPr>
                                <w:color w:val="FFFFFF"/>
                                <w:sz w:val="20"/>
                                <w:szCs w:val="32"/>
                              </w:rPr>
                              <w:fldChar w:fldCharType="begin"/>
                            </w:r>
                            <w:r w:rsidRPr="001E453D">
                              <w:rPr>
                                <w:color w:val="FFFFFF"/>
                                <w:sz w:val="20"/>
                                <w:szCs w:val="32"/>
                              </w:rPr>
                              <w:instrText xml:space="preserve"> DOCPROPERTY  ProjectRef \* MERGEFORMAT </w:instrText>
                            </w:r>
                            <w:r w:rsidRPr="001E453D">
                              <w:rPr>
                                <w:color w:val="FFFFFF"/>
                                <w:sz w:val="20"/>
                                <w:szCs w:val="32"/>
                              </w:rPr>
                              <w:fldChar w:fldCharType="separate"/>
                            </w:r>
                            <w:r w:rsidRPr="001E453D">
                              <w:rPr>
                                <w:color w:val="FFFFFF"/>
                                <w:sz w:val="20"/>
                                <w:szCs w:val="32"/>
                              </w:rPr>
                              <w:t xml:space="preserve"> </w:t>
                            </w:r>
                            <w:r w:rsidRPr="001E453D">
                              <w:rPr>
                                <w:color w:val="FFFFFF"/>
                                <w:sz w:val="20"/>
                                <w:szCs w:val="32"/>
                              </w:rPr>
                              <w:fldChar w:fldCharType="end"/>
                            </w:r>
                          </w:p>
                          <w:p w14:paraId="317D6931" w14:textId="77777777" w:rsidR="00B67A71" w:rsidRPr="001E453D" w:rsidRDefault="00B67A71" w:rsidP="00B20C8D">
                            <w:pPr>
                              <w:pStyle w:val="Coverfooter"/>
                              <w:rPr>
                                <w:color w:val="FFFFFF"/>
                                <w:sz w:val="20"/>
                                <w:szCs w:val="32"/>
                              </w:rPr>
                            </w:pPr>
                            <w:r w:rsidRPr="001E453D">
                              <w:rPr>
                                <w:color w:val="FFFFFF"/>
                                <w:sz w:val="20"/>
                                <w:szCs w:val="32"/>
                              </w:rPr>
                              <w:fldChar w:fldCharType="begin"/>
                            </w:r>
                            <w:r w:rsidRPr="001E453D">
                              <w:rPr>
                                <w:color w:val="FFFFFF"/>
                                <w:sz w:val="20"/>
                                <w:szCs w:val="32"/>
                              </w:rPr>
                              <w:instrText xml:space="preserve"> DOCPROPERTY  ProjectNumber \* MERGEFORMAT </w:instrText>
                            </w:r>
                            <w:r w:rsidRPr="001E453D">
                              <w:rPr>
                                <w:color w:val="FFFFFF"/>
                                <w:sz w:val="20"/>
                                <w:szCs w:val="32"/>
                              </w:rPr>
                              <w:fldChar w:fldCharType="separate"/>
                            </w:r>
                            <w:r w:rsidRPr="001E453D">
                              <w:rPr>
                                <w:color w:val="FFFFFF"/>
                                <w:sz w:val="20"/>
                                <w:szCs w:val="32"/>
                              </w:rPr>
                              <w:t xml:space="preserve"> </w:t>
                            </w:r>
                            <w:r w:rsidRPr="001E453D">
                              <w:rPr>
                                <w:color w:val="FFFFFF"/>
                                <w:sz w:val="20"/>
                                <w:szCs w:val="32"/>
                              </w:rPr>
                              <w:fldChar w:fldCharType="end"/>
                            </w:r>
                          </w:p>
                          <w:p w14:paraId="33394628" w14:textId="77777777" w:rsidR="00B67A71" w:rsidRPr="001E453D" w:rsidRDefault="00B67A71" w:rsidP="00B20C8D">
                            <w:pPr>
                              <w:pStyle w:val="Coverfooter"/>
                              <w:rPr>
                                <w:color w:val="FFFFFF"/>
                                <w:sz w:val="20"/>
                                <w:szCs w:val="32"/>
                              </w:rPr>
                            </w:pPr>
                            <w:r w:rsidRPr="001E453D">
                              <w:rPr>
                                <w:color w:val="FFFFFF"/>
                                <w:sz w:val="20"/>
                                <w:szCs w:val="32"/>
                              </w:rPr>
                              <w:fldChar w:fldCharType="begin"/>
                            </w:r>
                            <w:r w:rsidRPr="001E453D">
                              <w:rPr>
                                <w:color w:val="FFFFFF"/>
                                <w:sz w:val="20"/>
                                <w:szCs w:val="32"/>
                              </w:rPr>
                              <w:instrText xml:space="preserve"> DOCPROPERTY  DocumentReference \* MERGEFORMAT </w:instrText>
                            </w:r>
                            <w:r w:rsidRPr="001E453D">
                              <w:rPr>
                                <w:color w:val="FFFFFF"/>
                                <w:sz w:val="20"/>
                                <w:szCs w:val="32"/>
                              </w:rPr>
                              <w:fldChar w:fldCharType="end"/>
                            </w:r>
                          </w:p>
                          <w:p w14:paraId="37453FB4" w14:textId="77777777" w:rsidR="00B67A71" w:rsidRPr="001E453D" w:rsidRDefault="00B67A71" w:rsidP="00B20C8D">
                            <w:pPr>
                              <w:pStyle w:val="Coverfooter"/>
                              <w:rPr>
                                <w:color w:val="FFFFFF"/>
                                <w:sz w:val="20"/>
                                <w:szCs w:val="32"/>
                              </w:rPr>
                            </w:pPr>
                          </w:p>
                          <w:p w14:paraId="76A9A7B1" w14:textId="7BEC309F" w:rsidR="00B67A71" w:rsidRPr="00B20C8D" w:rsidRDefault="00BB3B52" w:rsidP="00B20C8D">
                            <w:pPr>
                              <w:pStyle w:val="Coverfooter"/>
                              <w:rPr>
                                <w:color w:val="FFFFFF"/>
                              </w:rPr>
                            </w:pPr>
                            <w:r>
                              <w:rPr>
                                <w:color w:val="FFFFFF"/>
                              </w:rPr>
                              <w:t>December</w:t>
                            </w:r>
                            <w:r w:rsidR="003918D8">
                              <w:rPr>
                                <w:color w:val="FFFFFF"/>
                              </w:rPr>
                              <w:t>, 2024</w:t>
                            </w:r>
                          </w:p>
                        </w:tc>
                      </w:tr>
                      <w:bookmarkEnd w:id="3"/>
                      <w:bookmarkEnd w:id="4"/>
                    </w:tbl>
                    <w:p w14:paraId="5846F169" w14:textId="77777777" w:rsidR="00B67A71" w:rsidRDefault="00B67A71" w:rsidP="00D50E1B"/>
                  </w:txbxContent>
                </v:textbox>
                <w10:wrap anchorx="margin" anchory="page"/>
              </v:shape>
            </w:pict>
          </mc:Fallback>
        </mc:AlternateContent>
      </w:r>
      <w:r w:rsidR="001E453D" w:rsidRPr="008B05F5">
        <w:rPr>
          <w:noProof/>
          <w:lang w:eastAsia="en-GB"/>
        </w:rPr>
        <w:drawing>
          <wp:anchor distT="0" distB="0" distL="114300" distR="114300" simplePos="0" relativeHeight="251663360" behindDoc="0" locked="0" layoutInCell="1" allowOverlap="1" wp14:anchorId="436FD2E8" wp14:editId="3A9128BB">
            <wp:simplePos x="0" y="0"/>
            <wp:positionH relativeFrom="page">
              <wp:posOffset>-1431</wp:posOffset>
            </wp:positionH>
            <wp:positionV relativeFrom="page">
              <wp:posOffset>6127473</wp:posOffset>
            </wp:positionV>
            <wp:extent cx="7560310" cy="3048826"/>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c"/>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0800000" flipH="1">
                      <a:off x="0" y="0"/>
                      <a:ext cx="7560310" cy="3048826"/>
                    </a:xfrm>
                    <a:prstGeom prst="rect">
                      <a:avLst/>
                    </a:prstGeom>
                  </pic:spPr>
                </pic:pic>
              </a:graphicData>
            </a:graphic>
            <wp14:sizeRelH relativeFrom="margin">
              <wp14:pctWidth>0</wp14:pctWidth>
            </wp14:sizeRelH>
            <wp14:sizeRelV relativeFrom="margin">
              <wp14:pctHeight>0</wp14:pctHeight>
            </wp14:sizeRelV>
          </wp:anchor>
        </w:drawing>
      </w:r>
      <w:r w:rsidR="00D54666">
        <w:rPr>
          <w:noProof/>
          <w:lang w:eastAsia="en-GB"/>
        </w:rPr>
        <mc:AlternateContent>
          <mc:Choice Requires="wps">
            <w:drawing>
              <wp:anchor distT="0" distB="0" distL="114300" distR="114300" simplePos="0" relativeHeight="251657216" behindDoc="0" locked="0" layoutInCell="0" allowOverlap="1" wp14:anchorId="3A600DAD" wp14:editId="11F988AE">
                <wp:simplePos x="0" y="0"/>
                <wp:positionH relativeFrom="column">
                  <wp:posOffset>0</wp:posOffset>
                </wp:positionH>
                <wp:positionV relativeFrom="page">
                  <wp:posOffset>357447</wp:posOffset>
                </wp:positionV>
                <wp:extent cx="4284345" cy="271780"/>
                <wp:effectExtent l="0" t="0" r="1905"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271780"/>
                        </a:xfrm>
                        <a:prstGeom prst="rect">
                          <a:avLst/>
                        </a:prstGeom>
                        <a:noFill/>
                        <a:ln w="9525">
                          <a:noFill/>
                          <a:miter lim="800000"/>
                          <a:headEnd/>
                          <a:tailEnd/>
                        </a:ln>
                      </wps:spPr>
                      <wps:txbx>
                        <w:txbxContent>
                          <w:bookmarkStart w:id="5" w:name="Cover2"/>
                          <w:bookmarkStart w:id="6" w:name="Start"/>
                          <w:bookmarkStart w:id="7" w:name="DRAFT"/>
                          <w:p w14:paraId="36A12D06" w14:textId="77777777" w:rsidR="00B67A71" w:rsidRPr="00F74319" w:rsidRDefault="00B67A71" w:rsidP="00F83749">
                            <w:pPr>
                              <w:pStyle w:val="Subtitleheading"/>
                              <w:rPr>
                                <w:b/>
                                <w:sz w:val="36"/>
                                <w:szCs w:val="36"/>
                              </w:rPr>
                            </w:pPr>
                            <w:r w:rsidRPr="00B20C8D">
                              <w:rPr>
                                <w:b/>
                                <w:color w:val="FFFFFF"/>
                                <w:sz w:val="36"/>
                                <w:szCs w:val="36"/>
                              </w:rPr>
                              <w:fldChar w:fldCharType="begin"/>
                            </w:r>
                            <w:r w:rsidRPr="00B20C8D">
                              <w:rPr>
                                <w:b/>
                                <w:color w:val="FFFFFF"/>
                                <w:sz w:val="36"/>
                                <w:szCs w:val="36"/>
                              </w:rPr>
                              <w:instrText xml:space="preserve"> DOCPROPERTY  Draft \* MERGEFORMAT </w:instrText>
                            </w:r>
                            <w:r w:rsidRPr="00B20C8D">
                              <w:rPr>
                                <w:b/>
                                <w:color w:val="FFFFFF"/>
                                <w:sz w:val="36"/>
                                <w:szCs w:val="36"/>
                              </w:rPr>
                              <w:fldChar w:fldCharType="separate"/>
                            </w:r>
                            <w:r>
                              <w:rPr>
                                <w:b/>
                                <w:color w:val="FFFFFF"/>
                                <w:sz w:val="36"/>
                                <w:szCs w:val="36"/>
                              </w:rPr>
                              <w:t xml:space="preserve"> </w:t>
                            </w:r>
                            <w:r w:rsidRPr="00B20C8D">
                              <w:rPr>
                                <w:b/>
                                <w:color w:val="FFFFFF"/>
                                <w:sz w:val="36"/>
                                <w:szCs w:val="36"/>
                              </w:rPr>
                              <w:fldChar w:fldCharType="end"/>
                            </w:r>
                            <w:r w:rsidRPr="00B20C8D">
                              <w:rPr>
                                <w:b/>
                                <w:color w:val="FFFFFF"/>
                                <w:sz w:val="36"/>
                                <w:szCs w:val="36"/>
                              </w:rPr>
                              <w:t xml:space="preserve"> </w:t>
                            </w:r>
                            <w:bookmarkEnd w:id="5"/>
                            <w:bookmarkEnd w:id="6"/>
                            <w:bookmarkEnd w:id="7"/>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600DAD" id="Text Box 4" o:spid="_x0000_s1027" type="#_x0000_t202" style="position:absolute;left:0;text-align:left;margin-left:0;margin-top:28.15pt;width:337.35pt;height:21.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" o:allowincell="f" filled="f" stroked="f">
                <v:textbox style="mso-fit-shape-to-text:t" inset="0,0,0,0">
                  <w:txbxContent>
                    <w:bookmarkStart w:id="8" w:name="Cover2"/>
                    <w:bookmarkStart w:id="9" w:name="Start"/>
                    <w:bookmarkStart w:id="10" w:name="DRAFT"/>
                    <w:p w14:paraId="36A12D06" w14:textId="77777777" w:rsidR="00B67A71" w:rsidRPr="00F74319" w:rsidRDefault="00B67A71" w:rsidP="00F83749">
                      <w:pPr>
                        <w:pStyle w:val="Subtitleheading"/>
                        <w:rPr>
                          <w:b/>
                          <w:sz w:val="36"/>
                          <w:szCs w:val="36"/>
                        </w:rPr>
                      </w:pPr>
                      <w:r w:rsidRPr="00B20C8D">
                        <w:rPr>
                          <w:b/>
                          <w:color w:val="FFFFFF"/>
                          <w:sz w:val="36"/>
                          <w:szCs w:val="36"/>
                        </w:rPr>
                        <w:fldChar w:fldCharType="begin"/>
                      </w:r>
                      <w:r w:rsidRPr="00B20C8D">
                        <w:rPr>
                          <w:b/>
                          <w:color w:val="FFFFFF"/>
                          <w:sz w:val="36"/>
                          <w:szCs w:val="36"/>
                        </w:rPr>
                        <w:instrText xml:space="preserve"> DOCPROPERTY  Draft \* MERGEFORMAT </w:instrText>
                      </w:r>
                      <w:r w:rsidRPr="00B20C8D">
                        <w:rPr>
                          <w:b/>
                          <w:color w:val="FFFFFF"/>
                          <w:sz w:val="36"/>
                          <w:szCs w:val="36"/>
                        </w:rPr>
                        <w:fldChar w:fldCharType="separate"/>
                      </w:r>
                      <w:r>
                        <w:rPr>
                          <w:b/>
                          <w:color w:val="FFFFFF"/>
                          <w:sz w:val="36"/>
                          <w:szCs w:val="36"/>
                        </w:rPr>
                        <w:t xml:space="preserve"> </w:t>
                      </w:r>
                      <w:r w:rsidRPr="00B20C8D">
                        <w:rPr>
                          <w:b/>
                          <w:color w:val="FFFFFF"/>
                          <w:sz w:val="36"/>
                          <w:szCs w:val="36"/>
                        </w:rPr>
                        <w:fldChar w:fldCharType="end"/>
                      </w:r>
                      <w:r w:rsidRPr="00B20C8D">
                        <w:rPr>
                          <w:b/>
                          <w:color w:val="FFFFFF"/>
                          <w:sz w:val="36"/>
                          <w:szCs w:val="36"/>
                        </w:rPr>
                        <w:t xml:space="preserve"> </w:t>
                      </w:r>
                      <w:bookmarkEnd w:id="8"/>
                      <w:bookmarkEnd w:id="9"/>
                      <w:bookmarkEnd w:id="10"/>
                    </w:p>
                  </w:txbxContent>
                </v:textbox>
                <w10:wrap anchory="page"/>
              </v:shape>
            </w:pict>
          </mc:Fallback>
        </mc:AlternateContent>
      </w:r>
      <w:r w:rsidR="00B20C8D" w:rsidRPr="002D3999">
        <w:rPr>
          <w:noProof/>
          <w:lang w:eastAsia="en-GB"/>
        </w:rPr>
        <w:drawing>
          <wp:anchor distT="0" distB="0" distL="114300" distR="114300" simplePos="0" relativeHeight="251666432" behindDoc="0" locked="0" layoutInCell="1" allowOverlap="1" wp14:anchorId="2CFD4517" wp14:editId="510FC35A">
            <wp:simplePos x="0" y="0"/>
            <wp:positionH relativeFrom="rightMargin">
              <wp:posOffset>-612140</wp:posOffset>
            </wp:positionH>
            <wp:positionV relativeFrom="page">
              <wp:posOffset>367030</wp:posOffset>
            </wp:positionV>
            <wp:extent cx="961560" cy="216000"/>
            <wp:effectExtent l="0" t="0" r="0" b="0"/>
            <wp:wrapNone/>
            <wp:docPr id="10" name="Picture 10" descr="AEC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ECOMLogo" descr="AECOM Logo"/>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61560" cy="216000"/>
                    </a:xfrm>
                    <a:prstGeom prst="rect">
                      <a:avLst/>
                    </a:prstGeom>
                  </pic:spPr>
                </pic:pic>
              </a:graphicData>
            </a:graphic>
            <wp14:sizeRelH relativeFrom="margin">
              <wp14:pctWidth>0</wp14:pctWidth>
            </wp14:sizeRelH>
            <wp14:sizeRelV relativeFrom="margin">
              <wp14:pctHeight>0</wp14:pctHeight>
            </wp14:sizeRelV>
          </wp:anchor>
        </w:drawing>
      </w:r>
      <w:r w:rsidR="00EF62EF">
        <w:rPr>
          <w:noProof/>
          <w:lang w:eastAsia="en-GB"/>
        </w:rPr>
        <mc:AlternateContent>
          <mc:Choice Requires="wps">
            <w:drawing>
              <wp:anchor distT="0" distB="0" distL="114300" distR="114300" simplePos="0" relativeHeight="251651072" behindDoc="0" locked="0" layoutInCell="0" allowOverlap="1" wp14:anchorId="24ABC7B8" wp14:editId="6D1992F7">
                <wp:simplePos x="0" y="0"/>
                <wp:positionH relativeFrom="column">
                  <wp:posOffset>0</wp:posOffset>
                </wp:positionH>
                <wp:positionV relativeFrom="page">
                  <wp:align>bottom</wp:align>
                </wp:positionV>
                <wp:extent cx="6134100" cy="1353960"/>
                <wp:effectExtent l="0" t="0" r="1016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353960"/>
                        </a:xfrm>
                        <a:prstGeom prst="rect">
                          <a:avLst/>
                        </a:prstGeom>
                        <a:noFill/>
                        <a:ln w="9525">
                          <a:noFill/>
                          <a:miter lim="800000"/>
                          <a:headEnd/>
                          <a:tailEnd/>
                        </a:ln>
                      </wps:spPr>
                      <wps:txbx>
                        <w:txbxContent>
                          <w:tbl>
                            <w:tblPr>
                              <w:tblStyle w:val="Plaingrid"/>
                              <w:tblW w:w="5000" w:type="pct"/>
                              <w:tblCellMar>
                                <w:right w:w="0" w:type="dxa"/>
                              </w:tblCellMar>
                              <w:tblLook w:val="04A0" w:firstRow="1" w:lastRow="0" w:firstColumn="1" w:lastColumn="0" w:noHBand="0" w:noVBand="1"/>
                            </w:tblPr>
                            <w:tblGrid>
                              <w:gridCol w:w="2781"/>
                              <w:gridCol w:w="3089"/>
                              <w:gridCol w:w="3791"/>
                            </w:tblGrid>
                            <w:tr w:rsidR="00B67A71" w:rsidRPr="00B20C8D" w14:paraId="49A502C0" w14:textId="77777777" w:rsidTr="00BA08E0">
                              <w:trPr>
                                <w:trHeight w:val="1554"/>
                              </w:trPr>
                              <w:tc>
                                <w:tcPr>
                                  <w:tcW w:w="1439" w:type="pct"/>
                                  <w:vAlign w:val="bottom"/>
                                </w:tcPr>
                                <w:bookmarkStart w:id="11" w:name="Cover3" w:colFirst="0" w:colLast="2"/>
                                <w:bookmarkStart w:id="12" w:name="CoverTable2"/>
                                <w:p w14:paraId="30309C48" w14:textId="77777777" w:rsidR="00B67A71" w:rsidRPr="00B20C8D" w:rsidRDefault="00B67A71" w:rsidP="008A19FD">
                                  <w:pPr>
                                    <w:pStyle w:val="Coverfooter"/>
                                    <w:rPr>
                                      <w:color w:val="FFFFFF"/>
                                    </w:rPr>
                                  </w:pPr>
                                  <w:r w:rsidRPr="00B20C8D">
                                    <w:rPr>
                                      <w:color w:val="FFFFFF"/>
                                    </w:rPr>
                                    <w:fldChar w:fldCharType="begin"/>
                                  </w:r>
                                  <w:r w:rsidRPr="00B20C8D">
                                    <w:rPr>
                                      <w:color w:val="FFFFFF"/>
                                    </w:rPr>
                                    <w:instrText xml:space="preserve"> DOCPROPERTY  FooterClientAddress \* MERGEFORMAT </w:instrText>
                                  </w:r>
                                  <w:r w:rsidRPr="00B20C8D">
                                    <w:rPr>
                                      <w:color w:val="FFFFFF"/>
                                    </w:rPr>
                                    <w:fldChar w:fldCharType="end"/>
                                  </w:r>
                                </w:p>
                              </w:tc>
                              <w:tc>
                                <w:tcPr>
                                  <w:tcW w:w="1598" w:type="pct"/>
                                  <w:vAlign w:val="bottom"/>
                                </w:tcPr>
                                <w:p w14:paraId="53E849C6" w14:textId="77777777" w:rsidR="00B67A71" w:rsidRPr="00B20C8D" w:rsidRDefault="00B67A71" w:rsidP="00BA5047">
                                  <w:pPr>
                                    <w:pStyle w:val="Coverfooter"/>
                                    <w:jc w:val="center"/>
                                    <w:rPr>
                                      <w:b/>
                                      <w:caps/>
                                      <w:color w:val="FFFFFF"/>
                                      <w:sz w:val="18"/>
                                      <w:szCs w:val="18"/>
                                    </w:rPr>
                                  </w:pPr>
                                  <w:r w:rsidRPr="00B20C8D">
                                    <w:rPr>
                                      <w:b/>
                                      <w:caps/>
                                      <w:color w:val="FFFFFF"/>
                                      <w:sz w:val="18"/>
                                      <w:szCs w:val="18"/>
                                    </w:rPr>
                                    <w:fldChar w:fldCharType="begin"/>
                                  </w:r>
                                  <w:r w:rsidRPr="00B20C8D">
                                    <w:rPr>
                                      <w:b/>
                                      <w:caps/>
                                      <w:color w:val="FFFFFF"/>
                                      <w:sz w:val="18"/>
                                      <w:szCs w:val="18"/>
                                    </w:rPr>
                                    <w:instrText xml:space="preserve"> DOCPROPERTY  ProtectiveMarking \* MERGEFORMAT </w:instrText>
                                  </w:r>
                                  <w:r w:rsidRPr="00B20C8D">
                                    <w:rPr>
                                      <w:b/>
                                      <w:caps/>
                                      <w:color w:val="FFFFFF"/>
                                      <w:sz w:val="18"/>
                                      <w:szCs w:val="18"/>
                                    </w:rPr>
                                    <w:fldChar w:fldCharType="end"/>
                                  </w:r>
                                </w:p>
                                <w:p w14:paraId="1163260C" w14:textId="77777777" w:rsidR="00B67A71" w:rsidRPr="00B20C8D" w:rsidRDefault="00B67A71" w:rsidP="00BA5047">
                                  <w:pPr>
                                    <w:pStyle w:val="Coverfooter"/>
                                    <w:jc w:val="center"/>
                                    <w:rPr>
                                      <w:color w:val="FFFFFF"/>
                                    </w:rPr>
                                  </w:pPr>
                                  <w:r w:rsidRPr="00B20C8D">
                                    <w:rPr>
                                      <w:color w:val="FFFFFF"/>
                                    </w:rPr>
                                    <w:fldChar w:fldCharType="begin"/>
                                  </w:r>
                                  <w:r w:rsidRPr="00B20C8D">
                                    <w:rPr>
                                      <w:color w:val="FFFFFF"/>
                                    </w:rPr>
                                    <w:instrText xml:space="preserve"> DOCPROPERTY  Copies \* MERGEFORMAT </w:instrText>
                                  </w:r>
                                  <w:r w:rsidRPr="00B20C8D">
                                    <w:rPr>
                                      <w:color w:val="FFFFFF"/>
                                    </w:rPr>
                                    <w:fldChar w:fldCharType="end"/>
                                  </w:r>
                                </w:p>
                              </w:tc>
                              <w:tc>
                                <w:tcPr>
                                  <w:tcW w:w="1962" w:type="pct"/>
                                  <w:vAlign w:val="bottom"/>
                                </w:tcPr>
                                <w:p w14:paraId="23B74A2A" w14:textId="77777777" w:rsidR="00B67A71" w:rsidRPr="00B20C8D" w:rsidRDefault="00B67A71" w:rsidP="00D50E1B">
                                  <w:pPr>
                                    <w:pStyle w:val="Coverfooter"/>
                                    <w:jc w:val="right"/>
                                    <w:rPr>
                                      <w:color w:val="FFFFFF"/>
                                    </w:rPr>
                                  </w:pPr>
                                  <w:bookmarkStart w:id="13" w:name="TagLine"/>
                                  <w:r w:rsidRPr="00B20C8D">
                                    <w:rPr>
                                      <w:rFonts w:ascii="Arial" w:hAnsi="Arial" w:cs="Arial"/>
                                      <w:noProof/>
                                      <w:color w:val="000000"/>
                                    </w:rPr>
                                    <w:drawing>
                                      <wp:inline distT="0" distB="0" distL="0" distR="0" wp14:anchorId="6D195DB4" wp14:editId="012CBAA8">
                                        <wp:extent cx="1813498" cy="170016"/>
                                        <wp:effectExtent l="0" t="0" r="0" b="1905"/>
                                        <wp:docPr id="1360926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1921744" cy="180164"/>
                                                </a:xfrm>
                                                <a:prstGeom prst="rect">
                                                  <a:avLst/>
                                                </a:prstGeom>
                                              </pic:spPr>
                                            </pic:pic>
                                          </a:graphicData>
                                        </a:graphic>
                                      </wp:inline>
                                    </w:drawing>
                                  </w:r>
                                  <w:bookmarkEnd w:id="13"/>
                                </w:p>
                              </w:tc>
                            </w:tr>
                            <w:bookmarkEnd w:id="11"/>
                            <w:bookmarkEnd w:id="12"/>
                          </w:tbl>
                          <w:p w14:paraId="5A676341" w14:textId="77777777" w:rsidR="00B67A71" w:rsidRDefault="00B67A71" w:rsidP="00DA79BC"/>
                        </w:txbxContent>
                      </wps:txbx>
                      <wps:bodyPr rot="0" vert="horz" wrap="square" lIns="0" tIns="0" rIns="0" bIns="36000" anchor="t" anchorCtr="0">
                        <a:noAutofit/>
                      </wps:bodyPr>
                    </wps:wsp>
                  </a:graphicData>
                </a:graphic>
                <wp14:sizeRelH relativeFrom="page">
                  <wp14:pctWidth>81000</wp14:pctWidth>
                </wp14:sizeRelH>
                <wp14:sizeRelV relativeFrom="margin">
                  <wp14:pctHeight>0</wp14:pctHeight>
                </wp14:sizeRelV>
              </wp:anchor>
            </w:drawing>
          </mc:Choice>
          <mc:Fallback>
            <w:pict>
              <v:shape w14:anchorId="24ABC7B8" id="Text Box 307" o:spid="_x0000_s1028" type="#_x0000_t202" style="position:absolute;left:0;text-align:left;margin-left:0;margin-top:0;width:483pt;height:106.6pt;z-index:251651072;visibility:visible;mso-wrap-style:square;mso-width-percent:810;mso-height-percent:0;mso-wrap-distance-left:9pt;mso-wrap-distance-top:0;mso-wrap-distance-right:9pt;mso-wrap-distance-bottom:0;mso-position-horizontal:absolute;mso-position-horizontal-relative:text;mso-position-vertical:bottom;mso-position-vertical-relative:page;mso-width-percent:81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" o:allowincell="f" filled="f" stroked="f">
                <v:textbox inset="0,0,0,1mm">
                  <w:txbxContent>
                    <w:tbl>
                      <w:tblPr>
                        <w:tblStyle w:val="Plaingrid"/>
                        <w:tblW w:w="5000" w:type="pct"/>
                        <w:tblCellMar>
                          <w:right w:w="0" w:type="dxa"/>
                        </w:tblCellMar>
                        <w:tblLook w:val="04A0" w:firstRow="1" w:lastRow="0" w:firstColumn="1" w:lastColumn="0" w:noHBand="0" w:noVBand="1"/>
                      </w:tblPr>
                      <w:tblGrid>
                        <w:gridCol w:w="2781"/>
                        <w:gridCol w:w="3089"/>
                        <w:gridCol w:w="3791"/>
                      </w:tblGrid>
                      <w:tr w:rsidR="00B67A71" w:rsidRPr="00B20C8D" w14:paraId="49A502C0" w14:textId="77777777" w:rsidTr="00BA08E0">
                        <w:trPr>
                          <w:trHeight w:val="1554"/>
                        </w:trPr>
                        <w:tc>
                          <w:tcPr>
                            <w:tcW w:w="1439" w:type="pct"/>
                            <w:vAlign w:val="bottom"/>
                          </w:tcPr>
                          <w:bookmarkStart w:id="14" w:name="Cover3" w:colFirst="0" w:colLast="2"/>
                          <w:bookmarkStart w:id="15" w:name="CoverTable2"/>
                          <w:p w14:paraId="30309C48" w14:textId="77777777" w:rsidR="00B67A71" w:rsidRPr="00B20C8D" w:rsidRDefault="00B67A71" w:rsidP="008A19FD">
                            <w:pPr>
                              <w:pStyle w:val="Coverfooter"/>
                              <w:rPr>
                                <w:color w:val="FFFFFF"/>
                              </w:rPr>
                            </w:pPr>
                            <w:r w:rsidRPr="00B20C8D">
                              <w:rPr>
                                <w:color w:val="FFFFFF"/>
                              </w:rPr>
                              <w:fldChar w:fldCharType="begin"/>
                            </w:r>
                            <w:r w:rsidRPr="00B20C8D">
                              <w:rPr>
                                <w:color w:val="FFFFFF"/>
                              </w:rPr>
                              <w:instrText xml:space="preserve"> DOCPROPERTY  FooterClientAddress \* MERGEFORMAT </w:instrText>
                            </w:r>
                            <w:r w:rsidRPr="00B20C8D">
                              <w:rPr>
                                <w:color w:val="FFFFFF"/>
                              </w:rPr>
                              <w:fldChar w:fldCharType="end"/>
                            </w:r>
                          </w:p>
                        </w:tc>
                        <w:tc>
                          <w:tcPr>
                            <w:tcW w:w="1598" w:type="pct"/>
                            <w:vAlign w:val="bottom"/>
                          </w:tcPr>
                          <w:p w14:paraId="53E849C6" w14:textId="77777777" w:rsidR="00B67A71" w:rsidRPr="00B20C8D" w:rsidRDefault="00B67A71" w:rsidP="00BA5047">
                            <w:pPr>
                              <w:pStyle w:val="Coverfooter"/>
                              <w:jc w:val="center"/>
                              <w:rPr>
                                <w:b/>
                                <w:caps/>
                                <w:color w:val="FFFFFF"/>
                                <w:sz w:val="18"/>
                                <w:szCs w:val="18"/>
                              </w:rPr>
                            </w:pPr>
                            <w:r w:rsidRPr="00B20C8D">
                              <w:rPr>
                                <w:b/>
                                <w:caps/>
                                <w:color w:val="FFFFFF"/>
                                <w:sz w:val="18"/>
                                <w:szCs w:val="18"/>
                              </w:rPr>
                              <w:fldChar w:fldCharType="begin"/>
                            </w:r>
                            <w:r w:rsidRPr="00B20C8D">
                              <w:rPr>
                                <w:b/>
                                <w:caps/>
                                <w:color w:val="FFFFFF"/>
                                <w:sz w:val="18"/>
                                <w:szCs w:val="18"/>
                              </w:rPr>
                              <w:instrText xml:space="preserve"> DOCPROPERTY  ProtectiveMarking \* MERGEFORMAT </w:instrText>
                            </w:r>
                            <w:r w:rsidRPr="00B20C8D">
                              <w:rPr>
                                <w:b/>
                                <w:caps/>
                                <w:color w:val="FFFFFF"/>
                                <w:sz w:val="18"/>
                                <w:szCs w:val="18"/>
                              </w:rPr>
                              <w:fldChar w:fldCharType="end"/>
                            </w:r>
                          </w:p>
                          <w:p w14:paraId="1163260C" w14:textId="77777777" w:rsidR="00B67A71" w:rsidRPr="00B20C8D" w:rsidRDefault="00B67A71" w:rsidP="00BA5047">
                            <w:pPr>
                              <w:pStyle w:val="Coverfooter"/>
                              <w:jc w:val="center"/>
                              <w:rPr>
                                <w:color w:val="FFFFFF"/>
                              </w:rPr>
                            </w:pPr>
                            <w:r w:rsidRPr="00B20C8D">
                              <w:rPr>
                                <w:color w:val="FFFFFF"/>
                              </w:rPr>
                              <w:fldChar w:fldCharType="begin"/>
                            </w:r>
                            <w:r w:rsidRPr="00B20C8D">
                              <w:rPr>
                                <w:color w:val="FFFFFF"/>
                              </w:rPr>
                              <w:instrText xml:space="preserve"> DOCPROPERTY  Copies \* MERGEFORMAT </w:instrText>
                            </w:r>
                            <w:r w:rsidRPr="00B20C8D">
                              <w:rPr>
                                <w:color w:val="FFFFFF"/>
                              </w:rPr>
                              <w:fldChar w:fldCharType="end"/>
                            </w:r>
                          </w:p>
                        </w:tc>
                        <w:tc>
                          <w:tcPr>
                            <w:tcW w:w="1962" w:type="pct"/>
                            <w:vAlign w:val="bottom"/>
                          </w:tcPr>
                          <w:p w14:paraId="23B74A2A" w14:textId="77777777" w:rsidR="00B67A71" w:rsidRPr="00B20C8D" w:rsidRDefault="00B67A71" w:rsidP="00D50E1B">
                            <w:pPr>
                              <w:pStyle w:val="Coverfooter"/>
                              <w:jc w:val="right"/>
                              <w:rPr>
                                <w:color w:val="FFFFFF"/>
                              </w:rPr>
                            </w:pPr>
                            <w:bookmarkStart w:id="16" w:name="TagLine"/>
                            <w:r w:rsidRPr="00B20C8D">
                              <w:rPr>
                                <w:rFonts w:ascii="Arial" w:hAnsi="Arial" w:cs="Arial"/>
                                <w:noProof/>
                                <w:color w:val="000000"/>
                              </w:rPr>
                              <w:drawing>
                                <wp:inline distT="0" distB="0" distL="0" distR="0" wp14:anchorId="6D195DB4" wp14:editId="012CBAA8">
                                  <wp:extent cx="1813498" cy="170016"/>
                                  <wp:effectExtent l="0" t="0" r="0" b="1905"/>
                                  <wp:docPr id="1360926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1921744" cy="180164"/>
                                          </a:xfrm>
                                          <a:prstGeom prst="rect">
                                            <a:avLst/>
                                          </a:prstGeom>
                                        </pic:spPr>
                                      </pic:pic>
                                    </a:graphicData>
                                  </a:graphic>
                                </wp:inline>
                              </w:drawing>
                            </w:r>
                            <w:bookmarkEnd w:id="16"/>
                          </w:p>
                        </w:tc>
                      </w:tr>
                      <w:bookmarkEnd w:id="14"/>
                      <w:bookmarkEnd w:id="15"/>
                    </w:tbl>
                    <w:p w14:paraId="5A676341" w14:textId="77777777" w:rsidR="00B67A71" w:rsidRDefault="00B67A71" w:rsidP="00DA79BC"/>
                  </w:txbxContent>
                </v:textbox>
                <w10:wrap anchory="page"/>
              </v:shape>
            </w:pict>
          </mc:Fallback>
        </mc:AlternateContent>
      </w:r>
    </w:p>
    <w:p w14:paraId="12EA07F5" w14:textId="77777777" w:rsidR="00F12DD7" w:rsidRDefault="00F12DD7" w:rsidP="00252C91">
      <w:pPr>
        <w:pStyle w:val="BodyText"/>
        <w:jc w:val="both"/>
        <w:sectPr w:rsidR="00F12DD7" w:rsidSect="00A87CF6">
          <w:headerReference w:type="default" r:id="rId17"/>
          <w:footerReference w:type="default" r:id="rId18"/>
          <w:pgSz w:w="11906" w:h="16838" w:code="9"/>
          <w:pgMar w:top="1134" w:right="1440" w:bottom="851" w:left="1440" w:header="709" w:footer="284" w:gutter="0"/>
          <w:cols w:space="708"/>
          <w:docGrid w:linePitch="360"/>
        </w:sectPr>
      </w:pPr>
    </w:p>
    <w:p w14:paraId="373FEEE3" w14:textId="77777777" w:rsidR="00067457" w:rsidRPr="00764F1A" w:rsidRDefault="00B20C8D" w:rsidP="00252C91">
      <w:pPr>
        <w:pStyle w:val="Heading"/>
        <w:pageBreakBefore/>
        <w:ind w:left="-420"/>
        <w:jc w:val="both"/>
        <w:rPr>
          <w:b/>
          <w:bCs/>
          <w:color w:val="auto"/>
          <w:sz w:val="28"/>
          <w:szCs w:val="20"/>
        </w:rPr>
      </w:pPr>
      <w:bookmarkStart w:id="17" w:name="Text_QualityInformation"/>
      <w:bookmarkStart w:id="18" w:name="QualityControlPage"/>
      <w:r w:rsidRPr="00764F1A">
        <w:rPr>
          <w:b/>
          <w:bCs/>
          <w:color w:val="auto"/>
          <w:sz w:val="28"/>
          <w:szCs w:val="20"/>
        </w:rPr>
        <w:lastRenderedPageBreak/>
        <w:t>Quality information</w:t>
      </w:r>
      <w:bookmarkEnd w:id="17"/>
    </w:p>
    <w:tbl>
      <w:tblPr>
        <w:tblStyle w:val="AECOMtable"/>
        <w:tblW w:w="5424" w:type="pct"/>
        <w:tblInd w:w="-426" w:type="dxa"/>
        <w:tblLook w:val="04A0" w:firstRow="1" w:lastRow="0" w:firstColumn="1" w:lastColumn="0" w:noHBand="0" w:noVBand="1"/>
      </w:tblPr>
      <w:tblGrid>
        <w:gridCol w:w="2835"/>
        <w:gridCol w:w="567"/>
        <w:gridCol w:w="2735"/>
        <w:gridCol w:w="327"/>
        <w:gridCol w:w="297"/>
        <w:gridCol w:w="3030"/>
      </w:tblGrid>
      <w:tr w:rsidR="00764F1A" w:rsidRPr="00764F1A" w14:paraId="093C9E1B" w14:textId="77777777" w:rsidTr="00514B9E">
        <w:trPr>
          <w:cnfStyle w:val="100000000000" w:firstRow="1" w:lastRow="0" w:firstColumn="0" w:lastColumn="0" w:oddVBand="0" w:evenVBand="0" w:oddHBand="0" w:evenHBand="0" w:firstRowFirstColumn="0" w:firstRowLastColumn="0" w:lastRowFirstColumn="0" w:lastRowLastColumn="0"/>
          <w:trHeight w:val="266"/>
        </w:trPr>
        <w:tc>
          <w:tcPr>
            <w:tcW w:w="2835" w:type="dxa"/>
          </w:tcPr>
          <w:p w14:paraId="2ECE5B46" w14:textId="77777777" w:rsidR="002E1EF2" w:rsidRPr="00764F1A" w:rsidRDefault="002E1EF2" w:rsidP="00252C91">
            <w:pPr>
              <w:pStyle w:val="Tabletext"/>
              <w:jc w:val="both"/>
              <w:rPr>
                <w:color w:val="auto"/>
                <w:sz w:val="24"/>
                <w:szCs w:val="24"/>
              </w:rPr>
            </w:pPr>
            <w:r w:rsidRPr="00764F1A">
              <w:rPr>
                <w:color w:val="auto"/>
                <w:sz w:val="24"/>
                <w:szCs w:val="24"/>
              </w:rPr>
              <w:t>Prepared by</w:t>
            </w:r>
          </w:p>
        </w:tc>
        <w:tc>
          <w:tcPr>
            <w:tcW w:w="567" w:type="dxa"/>
            <w:tcBorders>
              <w:bottom w:val="nil"/>
            </w:tcBorders>
          </w:tcPr>
          <w:p w14:paraId="3D904BAB" w14:textId="77777777" w:rsidR="002E1EF2" w:rsidRPr="00764F1A" w:rsidRDefault="002E1EF2" w:rsidP="00252C91">
            <w:pPr>
              <w:pStyle w:val="Tabletext"/>
              <w:jc w:val="both"/>
              <w:rPr>
                <w:color w:val="auto"/>
                <w:sz w:val="24"/>
                <w:szCs w:val="24"/>
              </w:rPr>
            </w:pPr>
          </w:p>
        </w:tc>
        <w:tc>
          <w:tcPr>
            <w:tcW w:w="2735" w:type="dxa"/>
          </w:tcPr>
          <w:p w14:paraId="63B3C4A6" w14:textId="77777777" w:rsidR="002E1EF2" w:rsidRPr="00764F1A" w:rsidRDefault="002E1EF2" w:rsidP="00252C91">
            <w:pPr>
              <w:pStyle w:val="Tabletext"/>
              <w:jc w:val="both"/>
              <w:rPr>
                <w:color w:val="auto"/>
                <w:sz w:val="24"/>
                <w:szCs w:val="24"/>
              </w:rPr>
            </w:pPr>
            <w:r w:rsidRPr="00764F1A">
              <w:rPr>
                <w:color w:val="auto"/>
                <w:sz w:val="24"/>
                <w:szCs w:val="24"/>
              </w:rPr>
              <w:t>Checked by</w:t>
            </w:r>
          </w:p>
        </w:tc>
        <w:tc>
          <w:tcPr>
            <w:tcW w:w="327" w:type="dxa"/>
            <w:tcBorders>
              <w:bottom w:val="nil"/>
            </w:tcBorders>
          </w:tcPr>
          <w:p w14:paraId="028BF2DE" w14:textId="77777777" w:rsidR="002E1EF2" w:rsidRPr="00764F1A" w:rsidRDefault="002E1EF2" w:rsidP="00252C91">
            <w:pPr>
              <w:pStyle w:val="Tabletext"/>
              <w:jc w:val="both"/>
              <w:rPr>
                <w:color w:val="auto"/>
                <w:sz w:val="24"/>
                <w:szCs w:val="24"/>
              </w:rPr>
            </w:pPr>
          </w:p>
        </w:tc>
        <w:tc>
          <w:tcPr>
            <w:tcW w:w="297" w:type="dxa"/>
            <w:tcBorders>
              <w:bottom w:val="nil"/>
            </w:tcBorders>
          </w:tcPr>
          <w:p w14:paraId="4DF0EAF7" w14:textId="77777777" w:rsidR="002E1EF2" w:rsidRPr="00764F1A" w:rsidRDefault="002E1EF2" w:rsidP="00252C91">
            <w:pPr>
              <w:pStyle w:val="Tabletext"/>
              <w:jc w:val="both"/>
              <w:rPr>
                <w:color w:val="auto"/>
                <w:sz w:val="24"/>
                <w:szCs w:val="24"/>
              </w:rPr>
            </w:pPr>
          </w:p>
        </w:tc>
        <w:tc>
          <w:tcPr>
            <w:tcW w:w="3030" w:type="dxa"/>
          </w:tcPr>
          <w:p w14:paraId="2E72E80A" w14:textId="77777777" w:rsidR="002E1EF2" w:rsidRPr="00764F1A" w:rsidRDefault="002E1EF2" w:rsidP="00252C91">
            <w:pPr>
              <w:pStyle w:val="Tabletext"/>
              <w:jc w:val="both"/>
              <w:rPr>
                <w:color w:val="auto"/>
                <w:sz w:val="24"/>
                <w:szCs w:val="24"/>
              </w:rPr>
            </w:pPr>
            <w:r w:rsidRPr="00764F1A">
              <w:rPr>
                <w:color w:val="auto"/>
                <w:sz w:val="24"/>
                <w:szCs w:val="24"/>
              </w:rPr>
              <w:t>Approved by</w:t>
            </w:r>
          </w:p>
        </w:tc>
      </w:tr>
      <w:tr w:rsidR="00764F1A" w:rsidRPr="00764F1A" w14:paraId="320B337D" w14:textId="77777777" w:rsidTr="00514B9E">
        <w:trPr>
          <w:trHeight w:val="266"/>
        </w:trPr>
        <w:tc>
          <w:tcPr>
            <w:tcW w:w="2835" w:type="dxa"/>
            <w:tcBorders>
              <w:top w:val="single" w:sz="12" w:space="0" w:color="008768" w:themeColor="accent1"/>
              <w:bottom w:val="single" w:sz="4" w:space="0" w:color="auto"/>
            </w:tcBorders>
          </w:tcPr>
          <w:p w14:paraId="4D8C0CCC" w14:textId="78B64537" w:rsidR="002E1EF2" w:rsidRPr="00764F1A" w:rsidRDefault="001D0AD4" w:rsidP="00252C91">
            <w:pPr>
              <w:pStyle w:val="Tabletext"/>
              <w:rPr>
                <w:sz w:val="24"/>
                <w:szCs w:val="24"/>
              </w:rPr>
            </w:pPr>
            <w:r>
              <w:rPr>
                <w:sz w:val="24"/>
                <w:szCs w:val="24"/>
              </w:rPr>
              <w:t>Matthew Kearney – Senior Consultant</w:t>
            </w:r>
          </w:p>
        </w:tc>
        <w:tc>
          <w:tcPr>
            <w:tcW w:w="567" w:type="dxa"/>
            <w:tcBorders>
              <w:top w:val="nil"/>
              <w:bottom w:val="nil"/>
            </w:tcBorders>
          </w:tcPr>
          <w:p w14:paraId="10D3D1D8" w14:textId="77777777" w:rsidR="002E1EF2" w:rsidRPr="00764F1A" w:rsidRDefault="002E1EF2" w:rsidP="00252C91">
            <w:pPr>
              <w:pStyle w:val="Tabletext"/>
              <w:ind w:right="-37"/>
              <w:rPr>
                <w:sz w:val="24"/>
                <w:szCs w:val="24"/>
              </w:rPr>
            </w:pPr>
          </w:p>
        </w:tc>
        <w:tc>
          <w:tcPr>
            <w:tcW w:w="2735" w:type="dxa"/>
          </w:tcPr>
          <w:p w14:paraId="30568B3C" w14:textId="217589E2" w:rsidR="002E1EF2" w:rsidRPr="00764F1A" w:rsidRDefault="001D0AD4" w:rsidP="00252C91">
            <w:pPr>
              <w:pStyle w:val="Tabletext"/>
              <w:rPr>
                <w:sz w:val="24"/>
                <w:szCs w:val="24"/>
              </w:rPr>
            </w:pPr>
            <w:r>
              <w:rPr>
                <w:sz w:val="24"/>
                <w:szCs w:val="24"/>
              </w:rPr>
              <w:t>Kerry Parr – Associate Director</w:t>
            </w:r>
          </w:p>
        </w:tc>
        <w:tc>
          <w:tcPr>
            <w:tcW w:w="327" w:type="dxa"/>
            <w:tcBorders>
              <w:top w:val="nil"/>
              <w:bottom w:val="nil"/>
            </w:tcBorders>
          </w:tcPr>
          <w:p w14:paraId="0328561E" w14:textId="77777777" w:rsidR="002E1EF2" w:rsidRPr="00764F1A" w:rsidRDefault="002E1EF2" w:rsidP="00252C91">
            <w:pPr>
              <w:pStyle w:val="Tabletext"/>
              <w:rPr>
                <w:sz w:val="24"/>
                <w:szCs w:val="24"/>
              </w:rPr>
            </w:pPr>
          </w:p>
        </w:tc>
        <w:tc>
          <w:tcPr>
            <w:tcW w:w="297" w:type="dxa"/>
            <w:tcBorders>
              <w:top w:val="nil"/>
              <w:bottom w:val="nil"/>
            </w:tcBorders>
          </w:tcPr>
          <w:p w14:paraId="3D7C5DCB" w14:textId="77777777" w:rsidR="002E1EF2" w:rsidRPr="00764F1A" w:rsidRDefault="002E1EF2" w:rsidP="00252C91">
            <w:pPr>
              <w:pStyle w:val="Tabletext"/>
              <w:rPr>
                <w:sz w:val="24"/>
                <w:szCs w:val="24"/>
              </w:rPr>
            </w:pPr>
          </w:p>
        </w:tc>
        <w:tc>
          <w:tcPr>
            <w:tcW w:w="3030" w:type="dxa"/>
          </w:tcPr>
          <w:p w14:paraId="5EE92A5E" w14:textId="645EF0B5" w:rsidR="002E1EF2" w:rsidRPr="00764F1A" w:rsidRDefault="001D0AD4" w:rsidP="00252C91">
            <w:pPr>
              <w:pStyle w:val="Tabletext"/>
              <w:rPr>
                <w:sz w:val="24"/>
                <w:szCs w:val="24"/>
              </w:rPr>
            </w:pPr>
            <w:r>
              <w:rPr>
                <w:sz w:val="24"/>
                <w:szCs w:val="24"/>
              </w:rPr>
              <w:t>Paul Avery – Princip</w:t>
            </w:r>
            <w:r w:rsidR="00C37913">
              <w:rPr>
                <w:sz w:val="24"/>
                <w:szCs w:val="24"/>
              </w:rPr>
              <w:t>al</w:t>
            </w:r>
            <w:r>
              <w:rPr>
                <w:sz w:val="24"/>
                <w:szCs w:val="24"/>
              </w:rPr>
              <w:t xml:space="preserve"> Consultant </w:t>
            </w:r>
          </w:p>
        </w:tc>
      </w:tr>
      <w:tr w:rsidR="00764F1A" w:rsidRPr="00764F1A" w14:paraId="50A593DC" w14:textId="77777777" w:rsidTr="00514B9E">
        <w:trPr>
          <w:trHeight w:val="266"/>
        </w:trPr>
        <w:tc>
          <w:tcPr>
            <w:tcW w:w="2835" w:type="dxa"/>
            <w:tcBorders>
              <w:top w:val="single" w:sz="4" w:space="0" w:color="auto"/>
            </w:tcBorders>
          </w:tcPr>
          <w:p w14:paraId="72C305FE" w14:textId="77777777" w:rsidR="002E1EF2" w:rsidRPr="00764F1A" w:rsidRDefault="002E1EF2" w:rsidP="00252C91">
            <w:pPr>
              <w:pStyle w:val="Tabletext"/>
              <w:jc w:val="both"/>
              <w:rPr>
                <w:sz w:val="24"/>
                <w:szCs w:val="24"/>
              </w:rPr>
            </w:pPr>
          </w:p>
        </w:tc>
        <w:tc>
          <w:tcPr>
            <w:tcW w:w="567" w:type="dxa"/>
            <w:tcBorders>
              <w:top w:val="nil"/>
              <w:bottom w:val="nil"/>
            </w:tcBorders>
          </w:tcPr>
          <w:p w14:paraId="3EC9DB55" w14:textId="77777777" w:rsidR="002E1EF2" w:rsidRPr="00764F1A" w:rsidRDefault="002E1EF2" w:rsidP="00252C91">
            <w:pPr>
              <w:pStyle w:val="Tabletext"/>
              <w:jc w:val="both"/>
              <w:rPr>
                <w:sz w:val="24"/>
                <w:szCs w:val="24"/>
              </w:rPr>
            </w:pPr>
          </w:p>
        </w:tc>
        <w:tc>
          <w:tcPr>
            <w:tcW w:w="2735" w:type="dxa"/>
          </w:tcPr>
          <w:p w14:paraId="60F021AC" w14:textId="77777777" w:rsidR="002E1EF2" w:rsidRPr="00764F1A" w:rsidRDefault="002E1EF2" w:rsidP="00252C91">
            <w:pPr>
              <w:pStyle w:val="Tabletext"/>
              <w:jc w:val="both"/>
              <w:rPr>
                <w:sz w:val="24"/>
                <w:szCs w:val="24"/>
              </w:rPr>
            </w:pPr>
          </w:p>
        </w:tc>
        <w:tc>
          <w:tcPr>
            <w:tcW w:w="327" w:type="dxa"/>
            <w:tcBorders>
              <w:top w:val="nil"/>
              <w:bottom w:val="nil"/>
            </w:tcBorders>
          </w:tcPr>
          <w:p w14:paraId="77489C7F" w14:textId="77777777" w:rsidR="002E1EF2" w:rsidRPr="00764F1A" w:rsidRDefault="002E1EF2" w:rsidP="00252C91">
            <w:pPr>
              <w:pStyle w:val="Tabletext"/>
              <w:jc w:val="both"/>
              <w:rPr>
                <w:sz w:val="24"/>
                <w:szCs w:val="24"/>
              </w:rPr>
            </w:pPr>
          </w:p>
        </w:tc>
        <w:tc>
          <w:tcPr>
            <w:tcW w:w="297" w:type="dxa"/>
            <w:tcBorders>
              <w:top w:val="nil"/>
              <w:bottom w:val="nil"/>
            </w:tcBorders>
          </w:tcPr>
          <w:p w14:paraId="37A8AC3F" w14:textId="77777777" w:rsidR="002E1EF2" w:rsidRPr="00764F1A" w:rsidRDefault="002E1EF2" w:rsidP="00252C91">
            <w:pPr>
              <w:pStyle w:val="Tabletext"/>
              <w:jc w:val="both"/>
              <w:rPr>
                <w:sz w:val="24"/>
                <w:szCs w:val="24"/>
              </w:rPr>
            </w:pPr>
          </w:p>
        </w:tc>
        <w:tc>
          <w:tcPr>
            <w:tcW w:w="3030" w:type="dxa"/>
          </w:tcPr>
          <w:p w14:paraId="5CE4CD51" w14:textId="77777777" w:rsidR="002E1EF2" w:rsidRPr="00764F1A" w:rsidRDefault="002E1EF2" w:rsidP="00252C91">
            <w:pPr>
              <w:pStyle w:val="Tabletext"/>
              <w:jc w:val="both"/>
              <w:rPr>
                <w:sz w:val="24"/>
                <w:szCs w:val="24"/>
              </w:rPr>
            </w:pPr>
          </w:p>
        </w:tc>
      </w:tr>
    </w:tbl>
    <w:p w14:paraId="4611C901" w14:textId="77777777" w:rsidR="00067457" w:rsidRPr="00764F1A" w:rsidRDefault="00067457" w:rsidP="00252C91">
      <w:pPr>
        <w:jc w:val="both"/>
      </w:pPr>
    </w:p>
    <w:p w14:paraId="3358F5EB" w14:textId="77777777" w:rsidR="00067457" w:rsidRPr="00764F1A" w:rsidRDefault="00B20C8D" w:rsidP="00252C91">
      <w:pPr>
        <w:pStyle w:val="Heading"/>
        <w:ind w:left="-426"/>
        <w:jc w:val="both"/>
        <w:rPr>
          <w:b/>
          <w:bCs/>
          <w:color w:val="auto"/>
          <w:sz w:val="28"/>
          <w:szCs w:val="20"/>
        </w:rPr>
      </w:pPr>
      <w:bookmarkStart w:id="19" w:name="Text_RevisionHistory"/>
      <w:r w:rsidRPr="00764F1A">
        <w:rPr>
          <w:b/>
          <w:bCs/>
          <w:color w:val="auto"/>
          <w:sz w:val="28"/>
          <w:szCs w:val="20"/>
        </w:rPr>
        <w:t>Revision History</w:t>
      </w:r>
      <w:bookmarkEnd w:id="19"/>
    </w:p>
    <w:tbl>
      <w:tblPr>
        <w:tblStyle w:val="AECOMtable"/>
        <w:tblW w:w="5420" w:type="pct"/>
        <w:tblInd w:w="-420" w:type="dxa"/>
        <w:tblLook w:val="04A0" w:firstRow="1" w:lastRow="0" w:firstColumn="1" w:lastColumn="0" w:noHBand="0" w:noVBand="1"/>
      </w:tblPr>
      <w:tblGrid>
        <w:gridCol w:w="2059"/>
        <w:gridCol w:w="2028"/>
        <w:gridCol w:w="2149"/>
        <w:gridCol w:w="3548"/>
      </w:tblGrid>
      <w:tr w:rsidR="00764F1A" w:rsidRPr="00764F1A" w14:paraId="2CFBB1BB" w14:textId="77777777" w:rsidTr="00514B9E">
        <w:trPr>
          <w:cnfStyle w:val="100000000000" w:firstRow="1" w:lastRow="0" w:firstColumn="0" w:lastColumn="0" w:oddVBand="0" w:evenVBand="0" w:oddHBand="0" w:evenHBand="0" w:firstRowFirstColumn="0" w:firstRowLastColumn="0" w:lastRowFirstColumn="0" w:lastRowLastColumn="0"/>
        </w:trPr>
        <w:tc>
          <w:tcPr>
            <w:tcW w:w="2060" w:type="dxa"/>
          </w:tcPr>
          <w:p w14:paraId="76DF07F1" w14:textId="77777777" w:rsidR="001E453D" w:rsidRPr="00764F1A" w:rsidRDefault="001E453D" w:rsidP="00252C91">
            <w:pPr>
              <w:pStyle w:val="Tabletext"/>
              <w:jc w:val="both"/>
              <w:rPr>
                <w:color w:val="auto"/>
                <w:sz w:val="24"/>
                <w:szCs w:val="24"/>
              </w:rPr>
            </w:pPr>
            <w:bookmarkStart w:id="20" w:name="Text_Revision"/>
            <w:r w:rsidRPr="00764F1A">
              <w:rPr>
                <w:color w:val="auto"/>
                <w:sz w:val="24"/>
                <w:szCs w:val="24"/>
              </w:rPr>
              <w:t>Revision</w:t>
            </w:r>
            <w:bookmarkEnd w:id="20"/>
          </w:p>
        </w:tc>
        <w:tc>
          <w:tcPr>
            <w:tcW w:w="2028" w:type="dxa"/>
          </w:tcPr>
          <w:p w14:paraId="6540A501" w14:textId="70FC85CD" w:rsidR="001E453D" w:rsidRPr="00764F1A" w:rsidRDefault="001E453D" w:rsidP="00252C91">
            <w:pPr>
              <w:pStyle w:val="Tabletext"/>
              <w:jc w:val="both"/>
              <w:rPr>
                <w:color w:val="auto"/>
                <w:sz w:val="24"/>
                <w:szCs w:val="24"/>
              </w:rPr>
            </w:pPr>
            <w:r w:rsidRPr="00764F1A">
              <w:rPr>
                <w:color w:val="auto"/>
                <w:sz w:val="24"/>
                <w:szCs w:val="24"/>
              </w:rPr>
              <w:t>Date</w:t>
            </w:r>
          </w:p>
        </w:tc>
        <w:tc>
          <w:tcPr>
            <w:tcW w:w="2149" w:type="dxa"/>
          </w:tcPr>
          <w:p w14:paraId="3570BABF" w14:textId="77777777" w:rsidR="001E453D" w:rsidRPr="00764F1A" w:rsidRDefault="001E453D" w:rsidP="00252C91">
            <w:pPr>
              <w:pStyle w:val="Tabletext"/>
              <w:jc w:val="both"/>
              <w:rPr>
                <w:color w:val="auto"/>
                <w:sz w:val="24"/>
                <w:szCs w:val="24"/>
              </w:rPr>
            </w:pPr>
            <w:bookmarkStart w:id="21" w:name="Text_Authorized"/>
            <w:r w:rsidRPr="00764F1A">
              <w:rPr>
                <w:color w:val="auto"/>
                <w:sz w:val="24"/>
                <w:szCs w:val="24"/>
              </w:rPr>
              <w:t>Authorized</w:t>
            </w:r>
            <w:bookmarkEnd w:id="21"/>
          </w:p>
        </w:tc>
        <w:tc>
          <w:tcPr>
            <w:tcW w:w="3548" w:type="dxa"/>
          </w:tcPr>
          <w:p w14:paraId="1685FB05" w14:textId="77777777" w:rsidR="001E453D" w:rsidRPr="00764F1A" w:rsidRDefault="001E453D" w:rsidP="00252C91">
            <w:pPr>
              <w:pStyle w:val="Tabletext"/>
              <w:jc w:val="both"/>
              <w:rPr>
                <w:color w:val="auto"/>
                <w:sz w:val="24"/>
                <w:szCs w:val="24"/>
              </w:rPr>
            </w:pPr>
            <w:bookmarkStart w:id="22" w:name="Text_Position"/>
            <w:r w:rsidRPr="00764F1A">
              <w:rPr>
                <w:color w:val="auto"/>
                <w:sz w:val="24"/>
                <w:szCs w:val="24"/>
              </w:rPr>
              <w:t>Position</w:t>
            </w:r>
            <w:bookmarkEnd w:id="22"/>
          </w:p>
        </w:tc>
      </w:tr>
      <w:tr w:rsidR="00764F1A" w:rsidRPr="00764F1A" w14:paraId="40C6C8B8" w14:textId="77777777" w:rsidTr="00514B9E">
        <w:tc>
          <w:tcPr>
            <w:tcW w:w="2060" w:type="dxa"/>
          </w:tcPr>
          <w:p w14:paraId="4EDE0E47" w14:textId="38F256B2" w:rsidR="001E453D" w:rsidRPr="00764F1A" w:rsidRDefault="001E453D" w:rsidP="00252C91">
            <w:pPr>
              <w:pStyle w:val="Tabletext"/>
              <w:jc w:val="both"/>
              <w:rPr>
                <w:sz w:val="24"/>
                <w:szCs w:val="24"/>
              </w:rPr>
            </w:pPr>
            <w:bookmarkStart w:id="23" w:name="RevisionStatus"/>
            <w:bookmarkEnd w:id="23"/>
            <w:r w:rsidRPr="00764F1A">
              <w:rPr>
                <w:sz w:val="24"/>
                <w:szCs w:val="24"/>
              </w:rPr>
              <w:t>1. First Draft</w:t>
            </w:r>
          </w:p>
        </w:tc>
        <w:tc>
          <w:tcPr>
            <w:tcW w:w="2028" w:type="dxa"/>
          </w:tcPr>
          <w:p w14:paraId="37D68E3D" w14:textId="56D0EE9E" w:rsidR="001E453D" w:rsidRPr="00764F1A" w:rsidRDefault="00C37913" w:rsidP="00252C91">
            <w:pPr>
              <w:pStyle w:val="Tabletext"/>
              <w:jc w:val="both"/>
              <w:rPr>
                <w:sz w:val="24"/>
                <w:szCs w:val="24"/>
              </w:rPr>
            </w:pPr>
            <w:r>
              <w:rPr>
                <w:sz w:val="24"/>
                <w:szCs w:val="24"/>
              </w:rPr>
              <w:t>December, 2024</w:t>
            </w:r>
          </w:p>
        </w:tc>
        <w:tc>
          <w:tcPr>
            <w:tcW w:w="2149" w:type="dxa"/>
          </w:tcPr>
          <w:p w14:paraId="645D48F1" w14:textId="0B12F464" w:rsidR="001E453D" w:rsidRPr="00764F1A" w:rsidRDefault="00C37913" w:rsidP="00252C91">
            <w:pPr>
              <w:pStyle w:val="Tabletext"/>
              <w:jc w:val="both"/>
              <w:rPr>
                <w:sz w:val="24"/>
                <w:szCs w:val="24"/>
              </w:rPr>
            </w:pPr>
            <w:r>
              <w:rPr>
                <w:sz w:val="24"/>
                <w:szCs w:val="24"/>
              </w:rPr>
              <w:t>MK</w:t>
            </w:r>
          </w:p>
        </w:tc>
        <w:tc>
          <w:tcPr>
            <w:tcW w:w="3548" w:type="dxa"/>
          </w:tcPr>
          <w:p w14:paraId="23EC7164" w14:textId="717C62E8" w:rsidR="001E453D" w:rsidRPr="00764F1A" w:rsidRDefault="00C37913" w:rsidP="00252C91">
            <w:pPr>
              <w:pStyle w:val="Tabletext"/>
              <w:rPr>
                <w:sz w:val="24"/>
                <w:szCs w:val="24"/>
              </w:rPr>
            </w:pPr>
            <w:r>
              <w:rPr>
                <w:sz w:val="24"/>
                <w:szCs w:val="24"/>
              </w:rPr>
              <w:t>Senior Consultant</w:t>
            </w:r>
          </w:p>
        </w:tc>
      </w:tr>
      <w:tr w:rsidR="00764F1A" w:rsidRPr="00764F1A" w14:paraId="023DA315" w14:textId="77777777" w:rsidTr="00514B9E">
        <w:tc>
          <w:tcPr>
            <w:tcW w:w="2060" w:type="dxa"/>
          </w:tcPr>
          <w:p w14:paraId="250F07F2" w14:textId="2A77AA97" w:rsidR="001E453D" w:rsidRPr="00764F1A" w:rsidRDefault="001E453D" w:rsidP="00252C91">
            <w:pPr>
              <w:pStyle w:val="Tabletext"/>
              <w:jc w:val="both"/>
              <w:rPr>
                <w:sz w:val="24"/>
                <w:szCs w:val="24"/>
              </w:rPr>
            </w:pPr>
            <w:r w:rsidRPr="00764F1A">
              <w:rPr>
                <w:sz w:val="24"/>
                <w:szCs w:val="24"/>
              </w:rPr>
              <w:t>2. Internal Review</w:t>
            </w:r>
          </w:p>
        </w:tc>
        <w:tc>
          <w:tcPr>
            <w:tcW w:w="2028" w:type="dxa"/>
          </w:tcPr>
          <w:p w14:paraId="4CB0A53B" w14:textId="17195ADE" w:rsidR="001E453D" w:rsidRPr="00764F1A" w:rsidRDefault="00C37913" w:rsidP="00252C91">
            <w:pPr>
              <w:pStyle w:val="Tabletext"/>
              <w:jc w:val="both"/>
              <w:rPr>
                <w:sz w:val="24"/>
                <w:szCs w:val="24"/>
              </w:rPr>
            </w:pPr>
            <w:r>
              <w:rPr>
                <w:sz w:val="24"/>
                <w:szCs w:val="24"/>
              </w:rPr>
              <w:t>December, 2024</w:t>
            </w:r>
          </w:p>
        </w:tc>
        <w:tc>
          <w:tcPr>
            <w:tcW w:w="2149" w:type="dxa"/>
          </w:tcPr>
          <w:p w14:paraId="6731188C" w14:textId="6A293FF7" w:rsidR="001E453D" w:rsidRPr="00764F1A" w:rsidRDefault="00C37913" w:rsidP="00252C91">
            <w:pPr>
              <w:pStyle w:val="Tabletext"/>
              <w:jc w:val="both"/>
              <w:rPr>
                <w:sz w:val="24"/>
                <w:szCs w:val="24"/>
              </w:rPr>
            </w:pPr>
            <w:r>
              <w:rPr>
                <w:sz w:val="24"/>
                <w:szCs w:val="24"/>
              </w:rPr>
              <w:t>KP</w:t>
            </w:r>
          </w:p>
        </w:tc>
        <w:tc>
          <w:tcPr>
            <w:tcW w:w="3548" w:type="dxa"/>
          </w:tcPr>
          <w:p w14:paraId="298C30EC" w14:textId="602D04C5" w:rsidR="001E453D" w:rsidRPr="00764F1A" w:rsidRDefault="00C37913" w:rsidP="00252C91">
            <w:pPr>
              <w:pStyle w:val="Tabletext"/>
              <w:rPr>
                <w:sz w:val="24"/>
                <w:szCs w:val="24"/>
              </w:rPr>
            </w:pPr>
            <w:r>
              <w:rPr>
                <w:sz w:val="24"/>
                <w:szCs w:val="24"/>
              </w:rPr>
              <w:t xml:space="preserve">Associate Director </w:t>
            </w:r>
          </w:p>
        </w:tc>
      </w:tr>
      <w:tr w:rsidR="00764F1A" w:rsidRPr="00764F1A" w14:paraId="3F6B085C" w14:textId="77777777" w:rsidTr="00514B9E">
        <w:tc>
          <w:tcPr>
            <w:tcW w:w="2060" w:type="dxa"/>
            <w:tcBorders>
              <w:bottom w:val="single" w:sz="4" w:space="0" w:color="auto"/>
            </w:tcBorders>
          </w:tcPr>
          <w:p w14:paraId="11A60BD6" w14:textId="2954CFEE" w:rsidR="001E453D" w:rsidRPr="00764F1A" w:rsidRDefault="001E453D" w:rsidP="00252C91">
            <w:pPr>
              <w:pStyle w:val="Tabletext"/>
              <w:jc w:val="both"/>
              <w:rPr>
                <w:sz w:val="24"/>
                <w:szCs w:val="24"/>
              </w:rPr>
            </w:pPr>
            <w:r w:rsidRPr="00764F1A">
              <w:rPr>
                <w:sz w:val="24"/>
                <w:szCs w:val="24"/>
              </w:rPr>
              <w:t>3. Group Review</w:t>
            </w:r>
          </w:p>
        </w:tc>
        <w:tc>
          <w:tcPr>
            <w:tcW w:w="2028" w:type="dxa"/>
            <w:tcBorders>
              <w:bottom w:val="single" w:sz="4" w:space="0" w:color="auto"/>
            </w:tcBorders>
          </w:tcPr>
          <w:p w14:paraId="2A20D4DB" w14:textId="69651FF6" w:rsidR="001E453D" w:rsidRPr="00764F1A" w:rsidRDefault="001E453D" w:rsidP="00252C91">
            <w:pPr>
              <w:pStyle w:val="Tabletext"/>
              <w:jc w:val="both"/>
              <w:rPr>
                <w:sz w:val="24"/>
                <w:szCs w:val="24"/>
              </w:rPr>
            </w:pPr>
          </w:p>
        </w:tc>
        <w:tc>
          <w:tcPr>
            <w:tcW w:w="2149" w:type="dxa"/>
            <w:tcBorders>
              <w:bottom w:val="single" w:sz="4" w:space="0" w:color="auto"/>
            </w:tcBorders>
          </w:tcPr>
          <w:p w14:paraId="3CB640DE" w14:textId="77777777" w:rsidR="001E453D" w:rsidRPr="00764F1A" w:rsidRDefault="001E453D" w:rsidP="00252C91">
            <w:pPr>
              <w:pStyle w:val="Tabletext"/>
              <w:jc w:val="both"/>
              <w:rPr>
                <w:sz w:val="24"/>
                <w:szCs w:val="24"/>
              </w:rPr>
            </w:pPr>
          </w:p>
        </w:tc>
        <w:tc>
          <w:tcPr>
            <w:tcW w:w="3548" w:type="dxa"/>
            <w:tcBorders>
              <w:bottom w:val="single" w:sz="4" w:space="0" w:color="auto"/>
            </w:tcBorders>
          </w:tcPr>
          <w:p w14:paraId="4B05FA95" w14:textId="77777777" w:rsidR="001E453D" w:rsidRPr="00764F1A" w:rsidRDefault="001E453D" w:rsidP="00252C91">
            <w:pPr>
              <w:pStyle w:val="Tabletext"/>
              <w:rPr>
                <w:sz w:val="24"/>
                <w:szCs w:val="24"/>
              </w:rPr>
            </w:pPr>
          </w:p>
        </w:tc>
      </w:tr>
      <w:tr w:rsidR="00764F1A" w:rsidRPr="00764F1A" w14:paraId="18BE64CB" w14:textId="77777777" w:rsidTr="00514B9E">
        <w:tc>
          <w:tcPr>
            <w:tcW w:w="2060" w:type="dxa"/>
            <w:tcBorders>
              <w:bottom w:val="single" w:sz="4" w:space="0" w:color="auto"/>
            </w:tcBorders>
          </w:tcPr>
          <w:p w14:paraId="3A204234" w14:textId="3B4BD27D" w:rsidR="001E453D" w:rsidRPr="00764F1A" w:rsidRDefault="001E453D" w:rsidP="00252C91">
            <w:pPr>
              <w:pStyle w:val="Tabletext"/>
              <w:jc w:val="both"/>
              <w:rPr>
                <w:sz w:val="24"/>
                <w:szCs w:val="24"/>
              </w:rPr>
            </w:pPr>
            <w:r w:rsidRPr="00764F1A">
              <w:rPr>
                <w:sz w:val="24"/>
                <w:szCs w:val="24"/>
              </w:rPr>
              <w:t>4. Locality Review</w:t>
            </w:r>
          </w:p>
        </w:tc>
        <w:tc>
          <w:tcPr>
            <w:tcW w:w="2028" w:type="dxa"/>
            <w:tcBorders>
              <w:bottom w:val="single" w:sz="4" w:space="0" w:color="auto"/>
            </w:tcBorders>
          </w:tcPr>
          <w:p w14:paraId="029888C8" w14:textId="3C8B0D92" w:rsidR="001E453D" w:rsidRPr="00764F1A" w:rsidRDefault="001E453D" w:rsidP="00252C91">
            <w:pPr>
              <w:pStyle w:val="Tabletext"/>
              <w:jc w:val="both"/>
              <w:rPr>
                <w:sz w:val="24"/>
                <w:szCs w:val="24"/>
              </w:rPr>
            </w:pPr>
          </w:p>
        </w:tc>
        <w:tc>
          <w:tcPr>
            <w:tcW w:w="2149" w:type="dxa"/>
            <w:tcBorders>
              <w:bottom w:val="single" w:sz="4" w:space="0" w:color="auto"/>
            </w:tcBorders>
          </w:tcPr>
          <w:p w14:paraId="6AC70ABC" w14:textId="77777777" w:rsidR="001E453D" w:rsidRPr="00764F1A" w:rsidRDefault="001E453D" w:rsidP="00252C91">
            <w:pPr>
              <w:pStyle w:val="Tabletext"/>
              <w:jc w:val="both"/>
              <w:rPr>
                <w:sz w:val="24"/>
                <w:szCs w:val="24"/>
              </w:rPr>
            </w:pPr>
          </w:p>
        </w:tc>
        <w:tc>
          <w:tcPr>
            <w:tcW w:w="3548" w:type="dxa"/>
            <w:tcBorders>
              <w:bottom w:val="single" w:sz="4" w:space="0" w:color="auto"/>
            </w:tcBorders>
          </w:tcPr>
          <w:p w14:paraId="51071BB2" w14:textId="77777777" w:rsidR="001E453D" w:rsidRPr="00764F1A" w:rsidRDefault="001E453D" w:rsidP="00252C91">
            <w:pPr>
              <w:pStyle w:val="Tabletext"/>
              <w:rPr>
                <w:sz w:val="24"/>
                <w:szCs w:val="24"/>
              </w:rPr>
            </w:pPr>
          </w:p>
        </w:tc>
      </w:tr>
      <w:tr w:rsidR="00764F1A" w:rsidRPr="00764F1A" w14:paraId="1D905C24" w14:textId="77777777" w:rsidTr="00514B9E">
        <w:tc>
          <w:tcPr>
            <w:tcW w:w="2060" w:type="dxa"/>
            <w:tcBorders>
              <w:top w:val="single" w:sz="4" w:space="0" w:color="auto"/>
              <w:bottom w:val="single" w:sz="4" w:space="0" w:color="auto"/>
            </w:tcBorders>
          </w:tcPr>
          <w:p w14:paraId="082C9049" w14:textId="5BD06A73" w:rsidR="001E453D" w:rsidRPr="00764F1A" w:rsidRDefault="001E453D" w:rsidP="00252C91">
            <w:pPr>
              <w:pStyle w:val="Tabletext"/>
              <w:jc w:val="both"/>
              <w:rPr>
                <w:sz w:val="24"/>
                <w:szCs w:val="24"/>
              </w:rPr>
            </w:pPr>
            <w:r w:rsidRPr="00764F1A">
              <w:rPr>
                <w:sz w:val="24"/>
                <w:szCs w:val="24"/>
              </w:rPr>
              <w:t>5. Final Report</w:t>
            </w:r>
          </w:p>
        </w:tc>
        <w:tc>
          <w:tcPr>
            <w:tcW w:w="2028" w:type="dxa"/>
            <w:tcBorders>
              <w:top w:val="single" w:sz="4" w:space="0" w:color="auto"/>
              <w:bottom w:val="single" w:sz="4" w:space="0" w:color="auto"/>
            </w:tcBorders>
          </w:tcPr>
          <w:p w14:paraId="30A7F259" w14:textId="71649CDD" w:rsidR="001E453D" w:rsidRPr="00764F1A" w:rsidRDefault="001E453D" w:rsidP="00252C91">
            <w:pPr>
              <w:pStyle w:val="Tabletext"/>
              <w:jc w:val="both"/>
              <w:rPr>
                <w:sz w:val="24"/>
                <w:szCs w:val="24"/>
              </w:rPr>
            </w:pPr>
          </w:p>
        </w:tc>
        <w:tc>
          <w:tcPr>
            <w:tcW w:w="2149" w:type="dxa"/>
            <w:tcBorders>
              <w:top w:val="single" w:sz="4" w:space="0" w:color="auto"/>
              <w:bottom w:val="single" w:sz="4" w:space="0" w:color="auto"/>
            </w:tcBorders>
          </w:tcPr>
          <w:p w14:paraId="150A497F" w14:textId="77777777" w:rsidR="001E453D" w:rsidRPr="00764F1A" w:rsidRDefault="001E453D" w:rsidP="00252C91">
            <w:pPr>
              <w:pStyle w:val="Tabletext"/>
              <w:jc w:val="both"/>
              <w:rPr>
                <w:sz w:val="24"/>
                <w:szCs w:val="24"/>
              </w:rPr>
            </w:pPr>
          </w:p>
        </w:tc>
        <w:tc>
          <w:tcPr>
            <w:tcW w:w="3548" w:type="dxa"/>
            <w:tcBorders>
              <w:top w:val="single" w:sz="4" w:space="0" w:color="auto"/>
              <w:bottom w:val="single" w:sz="4" w:space="0" w:color="auto"/>
            </w:tcBorders>
          </w:tcPr>
          <w:p w14:paraId="422B98C4" w14:textId="77777777" w:rsidR="001E453D" w:rsidRPr="00764F1A" w:rsidRDefault="001E453D" w:rsidP="00252C91">
            <w:pPr>
              <w:pStyle w:val="Tabletext"/>
              <w:rPr>
                <w:sz w:val="24"/>
                <w:szCs w:val="24"/>
              </w:rPr>
            </w:pPr>
          </w:p>
        </w:tc>
      </w:tr>
    </w:tbl>
    <w:p w14:paraId="0F2A0605" w14:textId="04EAE00E" w:rsidR="00067457" w:rsidRPr="00764F1A" w:rsidRDefault="00067457" w:rsidP="00252C91">
      <w:pPr>
        <w:tabs>
          <w:tab w:val="clear" w:pos="284"/>
        </w:tabs>
        <w:spacing w:line="240" w:lineRule="auto"/>
        <w:jc w:val="both"/>
      </w:pPr>
    </w:p>
    <w:p w14:paraId="587D330D" w14:textId="77777777" w:rsidR="001E453D" w:rsidRPr="00764F1A" w:rsidRDefault="001E453D" w:rsidP="00252C91">
      <w:pPr>
        <w:pStyle w:val="Heading"/>
        <w:jc w:val="both"/>
        <w:rPr>
          <w:color w:val="auto"/>
        </w:rPr>
      </w:pPr>
      <w:bookmarkStart w:id="24" w:name="Text_PreparedFor"/>
      <w:bookmarkEnd w:id="18"/>
    </w:p>
    <w:p w14:paraId="2204605F" w14:textId="3B1D3526" w:rsidR="002F3B02" w:rsidRPr="00764F1A" w:rsidRDefault="00B20C8D" w:rsidP="00252C91">
      <w:pPr>
        <w:pStyle w:val="Heading"/>
        <w:ind w:left="-426"/>
        <w:jc w:val="both"/>
        <w:rPr>
          <w:color w:val="auto"/>
        </w:rPr>
      </w:pPr>
      <w:r w:rsidRPr="00764F1A">
        <w:rPr>
          <w:color w:val="auto"/>
        </w:rPr>
        <w:t>Prepared for</w:t>
      </w:r>
      <w:bookmarkEnd w:id="24"/>
      <w:r w:rsidR="00831688" w:rsidRPr="00764F1A">
        <w:rPr>
          <w:color w:val="auto"/>
        </w:rPr>
        <w:t>:</w:t>
      </w:r>
      <w:r w:rsidR="00F253CA" w:rsidRPr="00764F1A">
        <w:rPr>
          <w:color w:val="auto"/>
        </w:rPr>
        <w:fldChar w:fldCharType="begin"/>
      </w:r>
      <w:r w:rsidR="00F253CA" w:rsidRPr="00764F1A">
        <w:rPr>
          <w:color w:val="auto"/>
        </w:rPr>
        <w:instrText xml:space="preserve"> DOCPROPERTY  ClientName \* MERGEFORMAT </w:instrText>
      </w:r>
      <w:r w:rsidR="00F253CA" w:rsidRPr="00764F1A">
        <w:rPr>
          <w:color w:val="auto"/>
        </w:rPr>
        <w:fldChar w:fldCharType="end"/>
      </w:r>
      <w:r w:rsidR="002F3B02" w:rsidRPr="00764F1A">
        <w:rPr>
          <w:color w:val="auto"/>
        </w:rPr>
        <w:t xml:space="preserve"> </w:t>
      </w:r>
      <w:r w:rsidR="007F739E" w:rsidRPr="00764F1A">
        <w:rPr>
          <w:color w:val="auto"/>
        </w:rPr>
        <w:fldChar w:fldCharType="begin"/>
      </w:r>
      <w:r w:rsidR="007F739E" w:rsidRPr="00764F1A">
        <w:rPr>
          <w:color w:val="auto"/>
        </w:rPr>
        <w:instrText xml:space="preserve"> DOCPROPERTY  ClientName \* MERGEFORMAT </w:instrText>
      </w:r>
      <w:r w:rsidR="007F739E" w:rsidRPr="00764F1A">
        <w:rPr>
          <w:color w:val="auto"/>
        </w:rPr>
        <w:fldChar w:fldCharType="end"/>
      </w:r>
      <w:r w:rsidR="00C37913">
        <w:rPr>
          <w:color w:val="auto"/>
        </w:rPr>
        <w:t xml:space="preserve">Consett Town Council </w:t>
      </w:r>
      <w:r w:rsidR="002F3B02" w:rsidRPr="00764F1A">
        <w:rPr>
          <w:color w:val="auto"/>
        </w:rPr>
        <w:t xml:space="preserve"> </w:t>
      </w:r>
      <w:r w:rsidR="00BB15FB" w:rsidRPr="00764F1A">
        <w:rPr>
          <w:color w:val="auto"/>
        </w:rPr>
        <w:fldChar w:fldCharType="begin"/>
      </w:r>
      <w:r w:rsidR="00BB15FB" w:rsidRPr="00764F1A">
        <w:rPr>
          <w:color w:val="auto"/>
        </w:rPr>
        <w:instrText xml:space="preserve"> DOCPROPERTY  ClientNumber \* MERGEFORMAT </w:instrText>
      </w:r>
      <w:r w:rsidR="00BB15FB" w:rsidRPr="00764F1A">
        <w:rPr>
          <w:color w:val="auto"/>
        </w:rPr>
        <w:fldChar w:fldCharType="separate"/>
      </w:r>
      <w:r w:rsidR="00EF42AC" w:rsidRPr="00764F1A">
        <w:rPr>
          <w:color w:val="auto"/>
        </w:rPr>
        <w:t xml:space="preserve"> </w:t>
      </w:r>
      <w:r w:rsidR="00BB15FB" w:rsidRPr="00764F1A">
        <w:rPr>
          <w:color w:val="auto"/>
        </w:rPr>
        <w:fldChar w:fldCharType="end"/>
      </w:r>
    </w:p>
    <w:p w14:paraId="1CF1E771" w14:textId="561C58F5" w:rsidR="002F3B02" w:rsidRPr="00764F1A" w:rsidRDefault="002F3B02" w:rsidP="00252C91">
      <w:pPr>
        <w:jc w:val="both"/>
      </w:pPr>
      <w:bookmarkStart w:id="25" w:name="FooterClientAddress"/>
      <w:bookmarkEnd w:id="25"/>
    </w:p>
    <w:p w14:paraId="188D83AD" w14:textId="77777777" w:rsidR="001E453D" w:rsidRPr="00764F1A" w:rsidRDefault="001E453D" w:rsidP="00252C91">
      <w:pPr>
        <w:jc w:val="both"/>
      </w:pPr>
    </w:p>
    <w:p w14:paraId="09191B4D" w14:textId="77777777" w:rsidR="000F22FF" w:rsidRPr="00764F1A" w:rsidRDefault="00B20C8D" w:rsidP="00252C91">
      <w:pPr>
        <w:pStyle w:val="Heading"/>
        <w:ind w:left="-406"/>
        <w:jc w:val="both"/>
        <w:rPr>
          <w:color w:val="auto"/>
        </w:rPr>
      </w:pPr>
      <w:bookmarkStart w:id="26" w:name="Text_PreparedBy_1"/>
      <w:r w:rsidRPr="00764F1A">
        <w:rPr>
          <w:color w:val="auto"/>
        </w:rPr>
        <w:t>Prepared by</w:t>
      </w:r>
      <w:bookmarkEnd w:id="26"/>
      <w:r w:rsidR="000F22FF" w:rsidRPr="00764F1A">
        <w:rPr>
          <w:color w:val="auto"/>
        </w:rPr>
        <w:t>:</w:t>
      </w:r>
    </w:p>
    <w:p w14:paraId="5DF51BF1" w14:textId="6D3E6480" w:rsidR="00B20C8D" w:rsidRPr="00764F1A" w:rsidRDefault="007D60D8" w:rsidP="00252C91">
      <w:pPr>
        <w:ind w:left="-406"/>
        <w:jc w:val="both"/>
      </w:pPr>
      <w:r w:rsidRPr="00764F1A">
        <w:t>‌</w:t>
      </w:r>
      <w:bookmarkStart w:id="27" w:name="OfficeAddress1"/>
      <w:r w:rsidR="00B20C8D" w:rsidRPr="00764F1A">
        <w:t>AECOM Limited</w:t>
      </w:r>
    </w:p>
    <w:p w14:paraId="1F3DD84D" w14:textId="77777777" w:rsidR="00B20C8D" w:rsidRPr="00764F1A" w:rsidRDefault="00B20C8D" w:rsidP="00252C91">
      <w:pPr>
        <w:ind w:left="-406"/>
        <w:jc w:val="both"/>
      </w:pPr>
      <w:r w:rsidRPr="00764F1A">
        <w:t>Aldgate Tower</w:t>
      </w:r>
    </w:p>
    <w:p w14:paraId="229FBD18" w14:textId="77777777" w:rsidR="00B20C8D" w:rsidRPr="00764F1A" w:rsidRDefault="00B20C8D" w:rsidP="00252C91">
      <w:pPr>
        <w:ind w:left="-406"/>
        <w:jc w:val="both"/>
      </w:pPr>
      <w:r w:rsidRPr="00764F1A">
        <w:t>2 Leman Street</w:t>
      </w:r>
    </w:p>
    <w:p w14:paraId="65260142" w14:textId="77777777" w:rsidR="00B20C8D" w:rsidRPr="00764F1A" w:rsidRDefault="00B20C8D" w:rsidP="00252C91">
      <w:pPr>
        <w:ind w:left="-406"/>
        <w:jc w:val="both"/>
      </w:pPr>
      <w:r w:rsidRPr="00764F1A">
        <w:t>London E1 8FA</w:t>
      </w:r>
    </w:p>
    <w:p w14:paraId="7E0B1C03" w14:textId="77777777" w:rsidR="00B20C8D" w:rsidRPr="00764F1A" w:rsidRDefault="00B20C8D" w:rsidP="00252C91">
      <w:pPr>
        <w:ind w:left="-406"/>
        <w:jc w:val="both"/>
      </w:pPr>
      <w:r w:rsidRPr="00764F1A">
        <w:t>United Kingdom</w:t>
      </w:r>
    </w:p>
    <w:p w14:paraId="0B3E9388" w14:textId="77777777" w:rsidR="000F22FF" w:rsidRPr="00764F1A" w:rsidRDefault="00B20C8D" w:rsidP="00252C91">
      <w:pPr>
        <w:ind w:left="-406"/>
        <w:jc w:val="both"/>
      </w:pPr>
      <w:r w:rsidRPr="00764F1A">
        <w:t>aecom.com</w:t>
      </w:r>
      <w:bookmarkEnd w:id="27"/>
    </w:p>
    <w:p w14:paraId="7AAE865E" w14:textId="77777777" w:rsidR="00A609EC" w:rsidRPr="00764F1A" w:rsidRDefault="00A609EC" w:rsidP="00252C91">
      <w:pPr>
        <w:pStyle w:val="BodyText"/>
        <w:ind w:left="-406"/>
        <w:jc w:val="both"/>
      </w:pPr>
    </w:p>
    <w:p w14:paraId="02DA2BFF" w14:textId="1346EB66" w:rsidR="00CD1EA1" w:rsidRPr="00764F1A" w:rsidRDefault="00B20C8D" w:rsidP="00252C91">
      <w:pPr>
        <w:pStyle w:val="BodyText"/>
        <w:ind w:left="-406"/>
        <w:jc w:val="both"/>
      </w:pPr>
      <w:bookmarkStart w:id="28" w:name="Copyright"/>
      <w:r w:rsidRPr="00764F1A">
        <w:t xml:space="preserve">© </w:t>
      </w:r>
      <w:r w:rsidR="00E061B4" w:rsidRPr="00764F1A">
        <w:t>202</w:t>
      </w:r>
      <w:r w:rsidR="00D11A82" w:rsidRPr="00764F1A">
        <w:t>4</w:t>
      </w:r>
      <w:r w:rsidR="00AD1690" w:rsidRPr="00764F1A">
        <w:t xml:space="preserve"> </w:t>
      </w:r>
      <w:r w:rsidRPr="00764F1A">
        <w:t xml:space="preserve">AECOM Limited. All Rights Reserved.  </w:t>
      </w:r>
      <w:bookmarkEnd w:id="28"/>
    </w:p>
    <w:p w14:paraId="6F682E6E" w14:textId="3F5DC3A7" w:rsidR="000D13AF" w:rsidRPr="00764F1A" w:rsidRDefault="00B20C8D" w:rsidP="00252C91">
      <w:pPr>
        <w:pStyle w:val="BodyText"/>
        <w:ind w:left="-406" w:right="-339"/>
        <w:jc w:val="both"/>
      </w:pPr>
      <w:bookmarkStart w:id="29" w:name="Disclaimer"/>
      <w:r w:rsidRPr="00764F1A">
        <w:t>This document has been prepared by AECOM Limited (“AECOM”) for sole use of our client (the “Client”) in accordance with generally accepted consultancy principles, the budget for fees and the terms of reference agreed between AECOM and the Client. Any information provided by third parties and referred to herein has not been checked or verified by AECOM, unless otherwise expressly stated in the document. No third party may rely upon this document without the prior and express written agreement of AECOM.</w:t>
      </w:r>
      <w:bookmarkEnd w:id="29"/>
      <w:r w:rsidR="000D13AF" w:rsidRPr="00764F1A">
        <w:br w:type="page"/>
      </w:r>
    </w:p>
    <w:p w14:paraId="67981EAC" w14:textId="59EF47DD" w:rsidR="002E1EF2" w:rsidRPr="00764F1A" w:rsidRDefault="002E1EF2" w:rsidP="00252C91">
      <w:pPr>
        <w:tabs>
          <w:tab w:val="clear" w:pos="284"/>
        </w:tabs>
        <w:spacing w:line="240" w:lineRule="auto"/>
        <w:ind w:left="-420"/>
        <w:jc w:val="both"/>
        <w:rPr>
          <w:b/>
          <w:bCs/>
          <w:sz w:val="28"/>
          <w:szCs w:val="20"/>
        </w:rPr>
      </w:pPr>
      <w:r w:rsidRPr="00764F1A">
        <w:rPr>
          <w:b/>
          <w:bCs/>
          <w:sz w:val="28"/>
          <w:szCs w:val="20"/>
        </w:rPr>
        <w:lastRenderedPageBreak/>
        <w:t>Table of Contents</w:t>
      </w:r>
    </w:p>
    <w:p w14:paraId="3F2599E5" w14:textId="77777777" w:rsidR="002E1EF2" w:rsidRPr="00764F1A" w:rsidRDefault="002E1EF2" w:rsidP="00252C91">
      <w:pPr>
        <w:tabs>
          <w:tab w:val="clear" w:pos="284"/>
        </w:tabs>
        <w:spacing w:line="240" w:lineRule="auto"/>
        <w:jc w:val="both"/>
      </w:pPr>
    </w:p>
    <w:bookmarkStart w:id="30" w:name="TOC"/>
    <w:p w14:paraId="771534E2" w14:textId="34D04CF1" w:rsidR="00C37913" w:rsidRDefault="002E1EF2">
      <w:pPr>
        <w:pStyle w:val="TOC1"/>
        <w:rPr>
          <w:rStyle w:val="Hyperlink"/>
          <w:noProof/>
        </w:rPr>
      </w:pPr>
      <w:r w:rsidRPr="00764F1A">
        <w:rPr>
          <w:lang w:val="en-US"/>
        </w:rPr>
        <w:fldChar w:fldCharType="begin"/>
      </w:r>
      <w:r w:rsidRPr="00764F1A">
        <w:rPr>
          <w:lang w:val="en-US"/>
        </w:rPr>
        <w:instrText xml:space="preserve"> TOC \o "1-1" \h \z \u </w:instrText>
      </w:r>
      <w:r w:rsidRPr="00764F1A">
        <w:rPr>
          <w:lang w:val="en-US"/>
        </w:rPr>
        <w:fldChar w:fldCharType="separate"/>
      </w:r>
      <w:hyperlink w:anchor="_Toc185339909" w:history="1">
        <w:r w:rsidR="00C37913" w:rsidRPr="00751926">
          <w:rPr>
            <w:rStyle w:val="Hyperlink"/>
            <w:noProof/>
          </w:rPr>
          <w:t>1.</w:t>
        </w:r>
        <w:r w:rsidR="00C37913">
          <w:rPr>
            <w:rFonts w:asciiTheme="minorHAnsi" w:eastAsiaTheme="minorEastAsia" w:hAnsiTheme="minorHAnsi"/>
            <w:noProof/>
            <w:kern w:val="2"/>
            <w:szCs w:val="24"/>
            <w:lang w:eastAsia="en-GB"/>
            <w14:ligatures w14:val="standardContextual"/>
          </w:rPr>
          <w:tab/>
        </w:r>
        <w:r w:rsidR="00C37913" w:rsidRPr="00751926">
          <w:rPr>
            <w:rStyle w:val="Hyperlink"/>
            <w:noProof/>
          </w:rPr>
          <w:t>Executive Summary</w:t>
        </w:r>
        <w:r w:rsidR="00C37913">
          <w:rPr>
            <w:noProof/>
            <w:webHidden/>
          </w:rPr>
          <w:tab/>
        </w:r>
        <w:r w:rsidR="00C37913">
          <w:rPr>
            <w:noProof/>
            <w:webHidden/>
          </w:rPr>
          <w:fldChar w:fldCharType="begin"/>
        </w:r>
        <w:r w:rsidR="00C37913">
          <w:rPr>
            <w:noProof/>
            <w:webHidden/>
          </w:rPr>
          <w:instrText xml:space="preserve"> PAGEREF _Toc185339909 \h </w:instrText>
        </w:r>
        <w:r w:rsidR="00C37913">
          <w:rPr>
            <w:noProof/>
            <w:webHidden/>
          </w:rPr>
        </w:r>
        <w:r w:rsidR="00C37913">
          <w:rPr>
            <w:noProof/>
            <w:webHidden/>
          </w:rPr>
          <w:fldChar w:fldCharType="separate"/>
        </w:r>
        <w:r w:rsidR="00C37913">
          <w:rPr>
            <w:noProof/>
            <w:webHidden/>
          </w:rPr>
          <w:t>iv</w:t>
        </w:r>
        <w:r w:rsidR="00C37913">
          <w:rPr>
            <w:noProof/>
            <w:webHidden/>
          </w:rPr>
          <w:fldChar w:fldCharType="end"/>
        </w:r>
      </w:hyperlink>
    </w:p>
    <w:p w14:paraId="3A16B2AA" w14:textId="77777777" w:rsidR="00C37913" w:rsidRPr="00C37913" w:rsidRDefault="00C37913" w:rsidP="00C37913"/>
    <w:p w14:paraId="039AB2B9" w14:textId="1048CC7E" w:rsidR="00C37913" w:rsidRDefault="00C37913">
      <w:pPr>
        <w:pStyle w:val="TOC1"/>
        <w:rPr>
          <w:rStyle w:val="Hyperlink"/>
          <w:noProof/>
        </w:rPr>
      </w:pPr>
      <w:hyperlink w:anchor="_Toc185339910" w:history="1">
        <w:r w:rsidRPr="00751926">
          <w:rPr>
            <w:rStyle w:val="Hyperlink"/>
            <w:noProof/>
          </w:rPr>
          <w:t>2.</w:t>
        </w:r>
        <w:r>
          <w:rPr>
            <w:rFonts w:asciiTheme="minorHAnsi" w:eastAsiaTheme="minorEastAsia" w:hAnsiTheme="minorHAnsi"/>
            <w:noProof/>
            <w:kern w:val="2"/>
            <w:szCs w:val="24"/>
            <w:lang w:eastAsia="en-GB"/>
            <w14:ligatures w14:val="standardContextual"/>
          </w:rPr>
          <w:tab/>
        </w:r>
        <w:r w:rsidRPr="00751926">
          <w:rPr>
            <w:rStyle w:val="Hyperlink"/>
            <w:noProof/>
          </w:rPr>
          <w:t>Context</w:t>
        </w:r>
        <w:r>
          <w:rPr>
            <w:noProof/>
            <w:webHidden/>
          </w:rPr>
          <w:tab/>
        </w:r>
        <w:r>
          <w:rPr>
            <w:noProof/>
            <w:webHidden/>
          </w:rPr>
          <w:fldChar w:fldCharType="begin"/>
        </w:r>
        <w:r>
          <w:rPr>
            <w:noProof/>
            <w:webHidden/>
          </w:rPr>
          <w:instrText xml:space="preserve"> PAGEREF _Toc185339910 \h </w:instrText>
        </w:r>
        <w:r>
          <w:rPr>
            <w:noProof/>
            <w:webHidden/>
          </w:rPr>
        </w:r>
        <w:r>
          <w:rPr>
            <w:noProof/>
            <w:webHidden/>
          </w:rPr>
          <w:fldChar w:fldCharType="separate"/>
        </w:r>
        <w:r>
          <w:rPr>
            <w:noProof/>
            <w:webHidden/>
          </w:rPr>
          <w:t>1</w:t>
        </w:r>
        <w:r>
          <w:rPr>
            <w:noProof/>
            <w:webHidden/>
          </w:rPr>
          <w:fldChar w:fldCharType="end"/>
        </w:r>
      </w:hyperlink>
    </w:p>
    <w:p w14:paraId="49F4037E" w14:textId="77777777" w:rsidR="00C37913" w:rsidRPr="00C37913" w:rsidRDefault="00C37913" w:rsidP="00C37913"/>
    <w:p w14:paraId="60C716FB" w14:textId="3CC4ADA1" w:rsidR="00C37913" w:rsidRDefault="00C37913">
      <w:pPr>
        <w:pStyle w:val="TOC1"/>
        <w:rPr>
          <w:rStyle w:val="Hyperlink"/>
          <w:noProof/>
        </w:rPr>
      </w:pPr>
      <w:hyperlink w:anchor="_Toc185339911" w:history="1">
        <w:r w:rsidRPr="00751926">
          <w:rPr>
            <w:rStyle w:val="Hyperlink"/>
            <w:noProof/>
          </w:rPr>
          <w:t>3.</w:t>
        </w:r>
        <w:r>
          <w:rPr>
            <w:rFonts w:asciiTheme="minorHAnsi" w:eastAsiaTheme="minorEastAsia" w:hAnsiTheme="minorHAnsi"/>
            <w:noProof/>
            <w:kern w:val="2"/>
            <w:szCs w:val="24"/>
            <w:lang w:eastAsia="en-GB"/>
            <w14:ligatures w14:val="standardContextual"/>
          </w:rPr>
          <w:tab/>
        </w:r>
        <w:r w:rsidRPr="00751926">
          <w:rPr>
            <w:rStyle w:val="Hyperlink"/>
            <w:noProof/>
          </w:rPr>
          <w:t>Objectives and approach</w:t>
        </w:r>
        <w:r>
          <w:rPr>
            <w:noProof/>
            <w:webHidden/>
          </w:rPr>
          <w:tab/>
        </w:r>
        <w:r>
          <w:rPr>
            <w:noProof/>
            <w:webHidden/>
          </w:rPr>
          <w:fldChar w:fldCharType="begin"/>
        </w:r>
        <w:r>
          <w:rPr>
            <w:noProof/>
            <w:webHidden/>
          </w:rPr>
          <w:instrText xml:space="preserve"> PAGEREF _Toc185339911 \h </w:instrText>
        </w:r>
        <w:r>
          <w:rPr>
            <w:noProof/>
            <w:webHidden/>
          </w:rPr>
        </w:r>
        <w:r>
          <w:rPr>
            <w:noProof/>
            <w:webHidden/>
          </w:rPr>
          <w:fldChar w:fldCharType="separate"/>
        </w:r>
        <w:r>
          <w:rPr>
            <w:noProof/>
            <w:webHidden/>
          </w:rPr>
          <w:t>5</w:t>
        </w:r>
        <w:r>
          <w:rPr>
            <w:noProof/>
            <w:webHidden/>
          </w:rPr>
          <w:fldChar w:fldCharType="end"/>
        </w:r>
      </w:hyperlink>
    </w:p>
    <w:p w14:paraId="6340DDB9" w14:textId="77777777" w:rsidR="00C37913" w:rsidRPr="00C37913" w:rsidRDefault="00C37913" w:rsidP="00C37913"/>
    <w:p w14:paraId="50C988BA" w14:textId="3BE92446" w:rsidR="00C37913" w:rsidRDefault="00C37913">
      <w:pPr>
        <w:pStyle w:val="TOC1"/>
        <w:rPr>
          <w:rStyle w:val="Hyperlink"/>
          <w:noProof/>
        </w:rPr>
      </w:pPr>
      <w:hyperlink w:anchor="_Toc185339912" w:history="1">
        <w:r w:rsidRPr="00751926">
          <w:rPr>
            <w:rStyle w:val="Hyperlink"/>
            <w:noProof/>
          </w:rPr>
          <w:t>4.</w:t>
        </w:r>
        <w:r>
          <w:rPr>
            <w:rFonts w:asciiTheme="minorHAnsi" w:eastAsiaTheme="minorEastAsia" w:hAnsiTheme="minorHAnsi"/>
            <w:noProof/>
            <w:kern w:val="2"/>
            <w:szCs w:val="24"/>
            <w:lang w:eastAsia="en-GB"/>
            <w14:ligatures w14:val="standardContextual"/>
          </w:rPr>
          <w:tab/>
        </w:r>
        <w:r w:rsidRPr="00751926">
          <w:rPr>
            <w:rStyle w:val="Hyperlink"/>
            <w:noProof/>
          </w:rPr>
          <w:t>Affordability and Affordable Housing</w:t>
        </w:r>
        <w:r>
          <w:rPr>
            <w:noProof/>
            <w:webHidden/>
          </w:rPr>
          <w:tab/>
        </w:r>
        <w:r>
          <w:rPr>
            <w:noProof/>
            <w:webHidden/>
          </w:rPr>
          <w:fldChar w:fldCharType="begin"/>
        </w:r>
        <w:r>
          <w:rPr>
            <w:noProof/>
            <w:webHidden/>
          </w:rPr>
          <w:instrText xml:space="preserve"> PAGEREF _Toc185339912 \h </w:instrText>
        </w:r>
        <w:r>
          <w:rPr>
            <w:noProof/>
            <w:webHidden/>
          </w:rPr>
        </w:r>
        <w:r>
          <w:rPr>
            <w:noProof/>
            <w:webHidden/>
          </w:rPr>
          <w:fldChar w:fldCharType="separate"/>
        </w:r>
        <w:r>
          <w:rPr>
            <w:noProof/>
            <w:webHidden/>
          </w:rPr>
          <w:t>8</w:t>
        </w:r>
        <w:r>
          <w:rPr>
            <w:noProof/>
            <w:webHidden/>
          </w:rPr>
          <w:fldChar w:fldCharType="end"/>
        </w:r>
      </w:hyperlink>
    </w:p>
    <w:p w14:paraId="6F171475" w14:textId="77777777" w:rsidR="00C37913" w:rsidRPr="00C37913" w:rsidRDefault="00C37913" w:rsidP="00C37913"/>
    <w:p w14:paraId="5E8F36D6" w14:textId="36243E33" w:rsidR="00C37913" w:rsidRDefault="00C37913">
      <w:pPr>
        <w:pStyle w:val="TOC1"/>
        <w:rPr>
          <w:rStyle w:val="Hyperlink"/>
          <w:noProof/>
        </w:rPr>
      </w:pPr>
      <w:hyperlink w:anchor="_Toc185339913" w:history="1">
        <w:r w:rsidRPr="00751926">
          <w:rPr>
            <w:rStyle w:val="Hyperlink"/>
            <w:noProof/>
          </w:rPr>
          <w:t>5.</w:t>
        </w:r>
        <w:r>
          <w:rPr>
            <w:rFonts w:asciiTheme="minorHAnsi" w:eastAsiaTheme="minorEastAsia" w:hAnsiTheme="minorHAnsi"/>
            <w:noProof/>
            <w:kern w:val="2"/>
            <w:szCs w:val="24"/>
            <w:lang w:eastAsia="en-GB"/>
            <w14:ligatures w14:val="standardContextual"/>
          </w:rPr>
          <w:tab/>
        </w:r>
        <w:r w:rsidRPr="00751926">
          <w:rPr>
            <w:rStyle w:val="Hyperlink"/>
            <w:noProof/>
          </w:rPr>
          <w:t>Type and Size</w:t>
        </w:r>
        <w:r>
          <w:rPr>
            <w:noProof/>
            <w:webHidden/>
          </w:rPr>
          <w:tab/>
        </w:r>
        <w:r>
          <w:rPr>
            <w:noProof/>
            <w:webHidden/>
          </w:rPr>
          <w:fldChar w:fldCharType="begin"/>
        </w:r>
        <w:r>
          <w:rPr>
            <w:noProof/>
            <w:webHidden/>
          </w:rPr>
          <w:instrText xml:space="preserve"> PAGEREF _Toc185339913 \h </w:instrText>
        </w:r>
        <w:r>
          <w:rPr>
            <w:noProof/>
            <w:webHidden/>
          </w:rPr>
        </w:r>
        <w:r>
          <w:rPr>
            <w:noProof/>
            <w:webHidden/>
          </w:rPr>
          <w:fldChar w:fldCharType="separate"/>
        </w:r>
        <w:r>
          <w:rPr>
            <w:noProof/>
            <w:webHidden/>
          </w:rPr>
          <w:t>23</w:t>
        </w:r>
        <w:r>
          <w:rPr>
            <w:noProof/>
            <w:webHidden/>
          </w:rPr>
          <w:fldChar w:fldCharType="end"/>
        </w:r>
      </w:hyperlink>
    </w:p>
    <w:p w14:paraId="154AA3B7" w14:textId="77777777" w:rsidR="00C37913" w:rsidRPr="00C37913" w:rsidRDefault="00C37913" w:rsidP="00C37913"/>
    <w:p w14:paraId="3737A5D4" w14:textId="4247402B" w:rsidR="00C37913" w:rsidRDefault="00C37913">
      <w:pPr>
        <w:pStyle w:val="TOC1"/>
        <w:rPr>
          <w:rStyle w:val="Hyperlink"/>
          <w:noProof/>
        </w:rPr>
      </w:pPr>
      <w:hyperlink w:anchor="_Toc185339914" w:history="1">
        <w:r w:rsidRPr="00751926">
          <w:rPr>
            <w:rStyle w:val="Hyperlink"/>
            <w:noProof/>
          </w:rPr>
          <w:t>6.</w:t>
        </w:r>
        <w:r>
          <w:rPr>
            <w:rFonts w:asciiTheme="minorHAnsi" w:eastAsiaTheme="minorEastAsia" w:hAnsiTheme="minorHAnsi"/>
            <w:noProof/>
            <w:kern w:val="2"/>
            <w:szCs w:val="24"/>
            <w:lang w:eastAsia="en-GB"/>
            <w14:ligatures w14:val="standardContextual"/>
          </w:rPr>
          <w:tab/>
        </w:r>
        <w:r w:rsidRPr="00751926">
          <w:rPr>
            <w:rStyle w:val="Hyperlink"/>
            <w:noProof/>
          </w:rPr>
          <w:t>Specialist housing for older people</w:t>
        </w:r>
        <w:r>
          <w:rPr>
            <w:noProof/>
            <w:webHidden/>
          </w:rPr>
          <w:tab/>
        </w:r>
        <w:r>
          <w:rPr>
            <w:noProof/>
            <w:webHidden/>
          </w:rPr>
          <w:fldChar w:fldCharType="begin"/>
        </w:r>
        <w:r>
          <w:rPr>
            <w:noProof/>
            <w:webHidden/>
          </w:rPr>
          <w:instrText xml:space="preserve"> PAGEREF _Toc185339914 \h </w:instrText>
        </w:r>
        <w:r>
          <w:rPr>
            <w:noProof/>
            <w:webHidden/>
          </w:rPr>
        </w:r>
        <w:r>
          <w:rPr>
            <w:noProof/>
            <w:webHidden/>
          </w:rPr>
          <w:fldChar w:fldCharType="separate"/>
        </w:r>
        <w:r>
          <w:rPr>
            <w:noProof/>
            <w:webHidden/>
          </w:rPr>
          <w:t>35</w:t>
        </w:r>
        <w:r>
          <w:rPr>
            <w:noProof/>
            <w:webHidden/>
          </w:rPr>
          <w:fldChar w:fldCharType="end"/>
        </w:r>
      </w:hyperlink>
    </w:p>
    <w:p w14:paraId="2333FD41" w14:textId="77777777" w:rsidR="00C37913" w:rsidRPr="00C37913" w:rsidRDefault="00C37913" w:rsidP="00C37913"/>
    <w:p w14:paraId="6CE19A0B" w14:textId="2B2B2CDE" w:rsidR="00C37913" w:rsidRDefault="00C37913">
      <w:pPr>
        <w:pStyle w:val="TOC1"/>
        <w:rPr>
          <w:rStyle w:val="Hyperlink"/>
          <w:noProof/>
        </w:rPr>
      </w:pPr>
      <w:hyperlink w:anchor="_Toc185339915" w:history="1">
        <w:r w:rsidRPr="00751926">
          <w:rPr>
            <w:rStyle w:val="Hyperlink"/>
            <w:noProof/>
          </w:rPr>
          <w:t>7.</w:t>
        </w:r>
        <w:r>
          <w:rPr>
            <w:rFonts w:asciiTheme="minorHAnsi" w:eastAsiaTheme="minorEastAsia" w:hAnsiTheme="minorHAnsi"/>
            <w:noProof/>
            <w:kern w:val="2"/>
            <w:szCs w:val="24"/>
            <w:lang w:eastAsia="en-GB"/>
            <w14:ligatures w14:val="standardContextual"/>
          </w:rPr>
          <w:tab/>
        </w:r>
        <w:r w:rsidRPr="00751926">
          <w:rPr>
            <w:rStyle w:val="Hyperlink"/>
            <w:noProof/>
          </w:rPr>
          <w:t>Next Steps</w:t>
        </w:r>
        <w:r>
          <w:rPr>
            <w:noProof/>
            <w:webHidden/>
          </w:rPr>
          <w:tab/>
        </w:r>
        <w:r>
          <w:rPr>
            <w:noProof/>
            <w:webHidden/>
          </w:rPr>
          <w:fldChar w:fldCharType="begin"/>
        </w:r>
        <w:r>
          <w:rPr>
            <w:noProof/>
            <w:webHidden/>
          </w:rPr>
          <w:instrText xml:space="preserve"> PAGEREF _Toc185339915 \h </w:instrText>
        </w:r>
        <w:r>
          <w:rPr>
            <w:noProof/>
            <w:webHidden/>
          </w:rPr>
        </w:r>
        <w:r>
          <w:rPr>
            <w:noProof/>
            <w:webHidden/>
          </w:rPr>
          <w:fldChar w:fldCharType="separate"/>
        </w:r>
        <w:r>
          <w:rPr>
            <w:noProof/>
            <w:webHidden/>
          </w:rPr>
          <w:t>43</w:t>
        </w:r>
        <w:r>
          <w:rPr>
            <w:noProof/>
            <w:webHidden/>
          </w:rPr>
          <w:fldChar w:fldCharType="end"/>
        </w:r>
      </w:hyperlink>
    </w:p>
    <w:p w14:paraId="6E25951A" w14:textId="77777777" w:rsidR="00C37913" w:rsidRPr="00C37913" w:rsidRDefault="00C37913" w:rsidP="00C37913"/>
    <w:p w14:paraId="25DF84A5" w14:textId="0FA190AD" w:rsidR="00C37913" w:rsidRDefault="00C37913">
      <w:pPr>
        <w:pStyle w:val="TOC1"/>
        <w:rPr>
          <w:rFonts w:asciiTheme="minorHAnsi" w:eastAsiaTheme="minorEastAsia" w:hAnsiTheme="minorHAnsi"/>
          <w:noProof/>
          <w:kern w:val="2"/>
          <w:szCs w:val="24"/>
          <w:lang w:eastAsia="en-GB"/>
          <w14:ligatures w14:val="standardContextual"/>
        </w:rPr>
      </w:pPr>
      <w:hyperlink w:anchor="_Toc185339916" w:history="1">
        <w:r w:rsidRPr="00751926">
          <w:rPr>
            <w:rStyle w:val="Hyperlink"/>
            <w:noProof/>
          </w:rPr>
          <w:t>Appendix A : Assessment geography</w:t>
        </w:r>
        <w:r>
          <w:rPr>
            <w:noProof/>
            <w:webHidden/>
          </w:rPr>
          <w:tab/>
        </w:r>
        <w:r>
          <w:rPr>
            <w:noProof/>
            <w:webHidden/>
          </w:rPr>
          <w:fldChar w:fldCharType="begin"/>
        </w:r>
        <w:r>
          <w:rPr>
            <w:noProof/>
            <w:webHidden/>
          </w:rPr>
          <w:instrText xml:space="preserve"> PAGEREF _Toc185339916 \h </w:instrText>
        </w:r>
        <w:r>
          <w:rPr>
            <w:noProof/>
            <w:webHidden/>
          </w:rPr>
        </w:r>
        <w:r>
          <w:rPr>
            <w:noProof/>
            <w:webHidden/>
          </w:rPr>
          <w:fldChar w:fldCharType="separate"/>
        </w:r>
        <w:r>
          <w:rPr>
            <w:noProof/>
            <w:webHidden/>
          </w:rPr>
          <w:t>44</w:t>
        </w:r>
        <w:r>
          <w:rPr>
            <w:noProof/>
            <w:webHidden/>
          </w:rPr>
          <w:fldChar w:fldCharType="end"/>
        </w:r>
      </w:hyperlink>
    </w:p>
    <w:p w14:paraId="0AF0701B" w14:textId="289CF95D" w:rsidR="00C37913" w:rsidRDefault="00C37913">
      <w:pPr>
        <w:pStyle w:val="TOC1"/>
        <w:rPr>
          <w:rFonts w:asciiTheme="minorHAnsi" w:eastAsiaTheme="minorEastAsia" w:hAnsiTheme="minorHAnsi"/>
          <w:noProof/>
          <w:kern w:val="2"/>
          <w:szCs w:val="24"/>
          <w:lang w:eastAsia="en-GB"/>
          <w14:ligatures w14:val="standardContextual"/>
        </w:rPr>
      </w:pPr>
      <w:hyperlink w:anchor="_Toc185339917" w:history="1">
        <w:r w:rsidRPr="00751926">
          <w:rPr>
            <w:rStyle w:val="Hyperlink"/>
            <w:noProof/>
          </w:rPr>
          <w:t>Appendix B : Local Plan context</w:t>
        </w:r>
        <w:r>
          <w:rPr>
            <w:noProof/>
            <w:webHidden/>
          </w:rPr>
          <w:tab/>
        </w:r>
        <w:r>
          <w:rPr>
            <w:noProof/>
            <w:webHidden/>
          </w:rPr>
          <w:fldChar w:fldCharType="begin"/>
        </w:r>
        <w:r>
          <w:rPr>
            <w:noProof/>
            <w:webHidden/>
          </w:rPr>
          <w:instrText xml:space="preserve"> PAGEREF _Toc185339917 \h </w:instrText>
        </w:r>
        <w:r>
          <w:rPr>
            <w:noProof/>
            <w:webHidden/>
          </w:rPr>
        </w:r>
        <w:r>
          <w:rPr>
            <w:noProof/>
            <w:webHidden/>
          </w:rPr>
          <w:fldChar w:fldCharType="separate"/>
        </w:r>
        <w:r>
          <w:rPr>
            <w:noProof/>
            <w:webHidden/>
          </w:rPr>
          <w:t>46</w:t>
        </w:r>
        <w:r>
          <w:rPr>
            <w:noProof/>
            <w:webHidden/>
          </w:rPr>
          <w:fldChar w:fldCharType="end"/>
        </w:r>
      </w:hyperlink>
    </w:p>
    <w:p w14:paraId="45097E32" w14:textId="6CF37100" w:rsidR="00C37913" w:rsidRDefault="00C37913">
      <w:pPr>
        <w:pStyle w:val="TOC1"/>
        <w:rPr>
          <w:rFonts w:asciiTheme="minorHAnsi" w:eastAsiaTheme="minorEastAsia" w:hAnsiTheme="minorHAnsi"/>
          <w:noProof/>
          <w:kern w:val="2"/>
          <w:szCs w:val="24"/>
          <w:lang w:eastAsia="en-GB"/>
          <w14:ligatures w14:val="standardContextual"/>
        </w:rPr>
      </w:pPr>
      <w:hyperlink w:anchor="_Toc185339918" w:history="1">
        <w:r w:rsidRPr="00751926">
          <w:rPr>
            <w:rStyle w:val="Hyperlink"/>
            <w:noProof/>
          </w:rPr>
          <w:t>Appendix C : Affordability calculations</w:t>
        </w:r>
        <w:r>
          <w:rPr>
            <w:noProof/>
            <w:webHidden/>
          </w:rPr>
          <w:tab/>
        </w:r>
        <w:r>
          <w:rPr>
            <w:noProof/>
            <w:webHidden/>
          </w:rPr>
          <w:fldChar w:fldCharType="begin"/>
        </w:r>
        <w:r>
          <w:rPr>
            <w:noProof/>
            <w:webHidden/>
          </w:rPr>
          <w:instrText xml:space="preserve"> PAGEREF _Toc185339918 \h </w:instrText>
        </w:r>
        <w:r>
          <w:rPr>
            <w:noProof/>
            <w:webHidden/>
          </w:rPr>
        </w:r>
        <w:r>
          <w:rPr>
            <w:noProof/>
            <w:webHidden/>
          </w:rPr>
          <w:fldChar w:fldCharType="separate"/>
        </w:r>
        <w:r>
          <w:rPr>
            <w:noProof/>
            <w:webHidden/>
          </w:rPr>
          <w:t>47</w:t>
        </w:r>
        <w:r>
          <w:rPr>
            <w:noProof/>
            <w:webHidden/>
          </w:rPr>
          <w:fldChar w:fldCharType="end"/>
        </w:r>
      </w:hyperlink>
    </w:p>
    <w:p w14:paraId="183B1B75" w14:textId="1FBB37E3" w:rsidR="00C37913" w:rsidRDefault="00C37913">
      <w:pPr>
        <w:pStyle w:val="TOC1"/>
        <w:rPr>
          <w:rFonts w:asciiTheme="minorHAnsi" w:eastAsiaTheme="minorEastAsia" w:hAnsiTheme="minorHAnsi"/>
          <w:noProof/>
          <w:kern w:val="2"/>
          <w:szCs w:val="24"/>
          <w:lang w:eastAsia="en-GB"/>
          <w14:ligatures w14:val="standardContextual"/>
        </w:rPr>
      </w:pPr>
      <w:hyperlink w:anchor="_Toc185339919" w:history="1">
        <w:r w:rsidRPr="00751926">
          <w:rPr>
            <w:rStyle w:val="Hyperlink"/>
            <w:noProof/>
          </w:rPr>
          <w:t>Appendix D : Affordable Housing need and policy</w:t>
        </w:r>
        <w:r>
          <w:rPr>
            <w:noProof/>
            <w:webHidden/>
          </w:rPr>
          <w:tab/>
        </w:r>
        <w:r>
          <w:rPr>
            <w:noProof/>
            <w:webHidden/>
          </w:rPr>
          <w:fldChar w:fldCharType="begin"/>
        </w:r>
        <w:r>
          <w:rPr>
            <w:noProof/>
            <w:webHidden/>
          </w:rPr>
          <w:instrText xml:space="preserve"> PAGEREF _Toc185339919 \h </w:instrText>
        </w:r>
        <w:r>
          <w:rPr>
            <w:noProof/>
            <w:webHidden/>
          </w:rPr>
        </w:r>
        <w:r>
          <w:rPr>
            <w:noProof/>
            <w:webHidden/>
          </w:rPr>
          <w:fldChar w:fldCharType="separate"/>
        </w:r>
        <w:r>
          <w:rPr>
            <w:noProof/>
            <w:webHidden/>
          </w:rPr>
          <w:t>54</w:t>
        </w:r>
        <w:r>
          <w:rPr>
            <w:noProof/>
            <w:webHidden/>
          </w:rPr>
          <w:fldChar w:fldCharType="end"/>
        </w:r>
      </w:hyperlink>
    </w:p>
    <w:p w14:paraId="2E99226F" w14:textId="6EDBE691" w:rsidR="00C37913" w:rsidRDefault="00C37913">
      <w:pPr>
        <w:pStyle w:val="TOC1"/>
        <w:rPr>
          <w:rFonts w:asciiTheme="minorHAnsi" w:eastAsiaTheme="minorEastAsia" w:hAnsiTheme="minorHAnsi"/>
          <w:noProof/>
          <w:kern w:val="2"/>
          <w:szCs w:val="24"/>
          <w:lang w:eastAsia="en-GB"/>
          <w14:ligatures w14:val="standardContextual"/>
        </w:rPr>
      </w:pPr>
      <w:hyperlink w:anchor="_Toc185339920" w:history="1">
        <w:r w:rsidRPr="00751926">
          <w:rPr>
            <w:rStyle w:val="Hyperlink"/>
            <w:noProof/>
          </w:rPr>
          <w:t>Appendix E : Specialist housing for older people</w:t>
        </w:r>
        <w:r>
          <w:rPr>
            <w:noProof/>
            <w:webHidden/>
          </w:rPr>
          <w:tab/>
        </w:r>
        <w:r>
          <w:rPr>
            <w:noProof/>
            <w:webHidden/>
          </w:rPr>
          <w:fldChar w:fldCharType="begin"/>
        </w:r>
        <w:r>
          <w:rPr>
            <w:noProof/>
            <w:webHidden/>
          </w:rPr>
          <w:instrText xml:space="preserve"> PAGEREF _Toc185339920 \h </w:instrText>
        </w:r>
        <w:r>
          <w:rPr>
            <w:noProof/>
            <w:webHidden/>
          </w:rPr>
        </w:r>
        <w:r>
          <w:rPr>
            <w:noProof/>
            <w:webHidden/>
          </w:rPr>
          <w:fldChar w:fldCharType="separate"/>
        </w:r>
        <w:r>
          <w:rPr>
            <w:noProof/>
            <w:webHidden/>
          </w:rPr>
          <w:t>59</w:t>
        </w:r>
        <w:r>
          <w:rPr>
            <w:noProof/>
            <w:webHidden/>
          </w:rPr>
          <w:fldChar w:fldCharType="end"/>
        </w:r>
      </w:hyperlink>
    </w:p>
    <w:p w14:paraId="43CAC860" w14:textId="5E8DBF6F" w:rsidR="00C37913" w:rsidRDefault="00C37913">
      <w:pPr>
        <w:pStyle w:val="TOC1"/>
        <w:rPr>
          <w:rFonts w:asciiTheme="minorHAnsi" w:eastAsiaTheme="minorEastAsia" w:hAnsiTheme="minorHAnsi"/>
          <w:noProof/>
          <w:kern w:val="2"/>
          <w:szCs w:val="24"/>
          <w:lang w:eastAsia="en-GB"/>
          <w14:ligatures w14:val="standardContextual"/>
        </w:rPr>
      </w:pPr>
      <w:hyperlink w:anchor="_Toc185339921" w:history="1">
        <w:r w:rsidRPr="00751926">
          <w:rPr>
            <w:rStyle w:val="Hyperlink"/>
            <w:noProof/>
          </w:rPr>
          <w:t>Appendix F : Housing Needs Assessment Glossary</w:t>
        </w:r>
        <w:r>
          <w:rPr>
            <w:noProof/>
            <w:webHidden/>
          </w:rPr>
          <w:tab/>
        </w:r>
        <w:r>
          <w:rPr>
            <w:noProof/>
            <w:webHidden/>
          </w:rPr>
          <w:fldChar w:fldCharType="begin"/>
        </w:r>
        <w:r>
          <w:rPr>
            <w:noProof/>
            <w:webHidden/>
          </w:rPr>
          <w:instrText xml:space="preserve"> PAGEREF _Toc185339921 \h </w:instrText>
        </w:r>
        <w:r>
          <w:rPr>
            <w:noProof/>
            <w:webHidden/>
          </w:rPr>
        </w:r>
        <w:r>
          <w:rPr>
            <w:noProof/>
            <w:webHidden/>
          </w:rPr>
          <w:fldChar w:fldCharType="separate"/>
        </w:r>
        <w:r>
          <w:rPr>
            <w:noProof/>
            <w:webHidden/>
          </w:rPr>
          <w:t>62</w:t>
        </w:r>
        <w:r>
          <w:rPr>
            <w:noProof/>
            <w:webHidden/>
          </w:rPr>
          <w:fldChar w:fldCharType="end"/>
        </w:r>
      </w:hyperlink>
    </w:p>
    <w:p w14:paraId="39FD3B80" w14:textId="7A9AF5A1" w:rsidR="00BE06EB" w:rsidRPr="00764F1A" w:rsidRDefault="002E1EF2" w:rsidP="00252C91">
      <w:pPr>
        <w:jc w:val="both"/>
        <w:rPr>
          <w:lang w:val="en-US"/>
        </w:rPr>
      </w:pPr>
      <w:r w:rsidRPr="00764F1A">
        <w:rPr>
          <w:lang w:val="en-US"/>
        </w:rPr>
        <w:fldChar w:fldCharType="end"/>
      </w:r>
    </w:p>
    <w:p w14:paraId="0825AAB3" w14:textId="107FFA34" w:rsidR="003964F2" w:rsidRPr="00764F1A" w:rsidRDefault="003964F2" w:rsidP="00252C91">
      <w:pPr>
        <w:pStyle w:val="BodyText"/>
        <w:jc w:val="both"/>
        <w:rPr>
          <w:noProof/>
        </w:rPr>
      </w:pPr>
    </w:p>
    <w:bookmarkEnd w:id="30"/>
    <w:p w14:paraId="3B618940" w14:textId="6D584230" w:rsidR="00A77342" w:rsidRPr="00764F1A" w:rsidRDefault="00A77342" w:rsidP="00252C91">
      <w:pPr>
        <w:pStyle w:val="BodyText"/>
        <w:jc w:val="both"/>
        <w:rPr>
          <w:bCs/>
          <w:lang w:val="en-US"/>
        </w:rPr>
      </w:pPr>
    </w:p>
    <w:p w14:paraId="4D4CAC9D" w14:textId="77777777" w:rsidR="001E453D" w:rsidRPr="00764F1A" w:rsidRDefault="001E453D" w:rsidP="00252C91">
      <w:pPr>
        <w:tabs>
          <w:tab w:val="clear" w:pos="284"/>
        </w:tabs>
        <w:spacing w:line="240" w:lineRule="auto"/>
        <w:jc w:val="both"/>
        <w:rPr>
          <w:b/>
          <w:lang w:val="en-US"/>
        </w:rPr>
      </w:pPr>
      <w:r w:rsidRPr="00764F1A">
        <w:rPr>
          <w:b/>
          <w:lang w:val="en-US"/>
        </w:rPr>
        <w:br w:type="page"/>
      </w:r>
    </w:p>
    <w:p w14:paraId="6FA17BC0" w14:textId="6C5D2B22" w:rsidR="007935AD" w:rsidRPr="00764F1A" w:rsidRDefault="001E135A" w:rsidP="00252C91">
      <w:pPr>
        <w:pStyle w:val="BodyText"/>
        <w:ind w:left="-420"/>
        <w:jc w:val="both"/>
        <w:rPr>
          <w:b/>
          <w:lang w:val="en-US"/>
        </w:rPr>
      </w:pPr>
      <w:r w:rsidRPr="00764F1A">
        <w:rPr>
          <w:b/>
          <w:lang w:val="en-US"/>
        </w:rPr>
        <w:lastRenderedPageBreak/>
        <w:t>List of acronyms used in the text:</w:t>
      </w:r>
    </w:p>
    <w:p w14:paraId="62BD91C4" w14:textId="77777777" w:rsidR="007730CA" w:rsidRPr="00764F1A" w:rsidRDefault="007730CA" w:rsidP="00252C91">
      <w:pPr>
        <w:jc w:val="both"/>
        <w:rPr>
          <w:b/>
          <w:bCs/>
          <w:noProof/>
        </w:rPr>
      </w:pPr>
    </w:p>
    <w:p w14:paraId="0E9BEB55" w14:textId="4DB76033" w:rsidR="00597BD0" w:rsidRPr="00764F1A" w:rsidRDefault="00597BD0" w:rsidP="00252C91">
      <w:pPr>
        <w:pStyle w:val="BodyText"/>
        <w:ind w:left="-426"/>
        <w:jc w:val="both"/>
        <w:rPr>
          <w:lang w:val="en-US"/>
        </w:rPr>
      </w:pPr>
      <w:r w:rsidRPr="00764F1A">
        <w:rPr>
          <w:lang w:val="en-US"/>
        </w:rPr>
        <w:t>HMA</w:t>
      </w:r>
      <w:r w:rsidRPr="00764F1A">
        <w:rPr>
          <w:lang w:val="en-US"/>
        </w:rPr>
        <w:tab/>
        <w:t>Housing Market Area</w:t>
      </w:r>
    </w:p>
    <w:p w14:paraId="79AFE59F" w14:textId="09ACEF78" w:rsidR="007730CA" w:rsidRPr="00764F1A" w:rsidRDefault="007730CA" w:rsidP="00252C91">
      <w:pPr>
        <w:pStyle w:val="BodyText"/>
        <w:ind w:left="-426"/>
        <w:jc w:val="both"/>
        <w:rPr>
          <w:lang w:val="en-US"/>
        </w:rPr>
      </w:pPr>
      <w:r w:rsidRPr="00764F1A">
        <w:rPr>
          <w:lang w:val="en-US"/>
        </w:rPr>
        <w:t xml:space="preserve">HNA </w:t>
      </w:r>
      <w:r w:rsidRPr="00764F1A">
        <w:rPr>
          <w:lang w:val="en-US"/>
        </w:rPr>
        <w:tab/>
        <w:t>Housing Needs Assessment</w:t>
      </w:r>
    </w:p>
    <w:p w14:paraId="6C08FDEB" w14:textId="1542EC27" w:rsidR="007730CA" w:rsidRPr="00764F1A" w:rsidRDefault="007730CA" w:rsidP="00252C91">
      <w:pPr>
        <w:pStyle w:val="BodyText"/>
        <w:ind w:left="709" w:hanging="1135"/>
        <w:jc w:val="both"/>
        <w:rPr>
          <w:lang w:val="en-US"/>
        </w:rPr>
      </w:pPr>
      <w:r w:rsidRPr="00764F1A">
        <w:rPr>
          <w:lang w:val="en-US"/>
        </w:rPr>
        <w:t>HRF</w:t>
      </w:r>
      <w:r w:rsidR="00C05756" w:rsidRPr="00764F1A">
        <w:rPr>
          <w:lang w:val="en-US"/>
        </w:rPr>
        <w:tab/>
      </w:r>
      <w:r w:rsidRPr="00764F1A">
        <w:rPr>
          <w:lang w:val="en-US"/>
        </w:rPr>
        <w:t>Housing Requirement Figure (the total number of homes the NA is expected to plan for, usually supplied by LPAs)</w:t>
      </w:r>
    </w:p>
    <w:p w14:paraId="300215A3" w14:textId="4A275206" w:rsidR="007730CA" w:rsidRPr="00764F1A" w:rsidRDefault="007730CA" w:rsidP="00252C91">
      <w:pPr>
        <w:pStyle w:val="BodyText"/>
        <w:ind w:left="-426"/>
        <w:jc w:val="both"/>
        <w:rPr>
          <w:lang w:val="en-US"/>
        </w:rPr>
      </w:pPr>
      <w:r w:rsidRPr="00764F1A">
        <w:rPr>
          <w:lang w:val="en-US"/>
        </w:rPr>
        <w:t>HLIN</w:t>
      </w:r>
      <w:r w:rsidRPr="00764F1A">
        <w:rPr>
          <w:lang w:val="en-US"/>
        </w:rPr>
        <w:tab/>
        <w:t>Housing Learning and Improvement Network</w:t>
      </w:r>
    </w:p>
    <w:p w14:paraId="5B04CC08" w14:textId="6182957B" w:rsidR="007730CA" w:rsidRPr="00764F1A" w:rsidRDefault="007730CA" w:rsidP="00252C91">
      <w:pPr>
        <w:pStyle w:val="BodyText"/>
        <w:ind w:left="-426"/>
        <w:jc w:val="both"/>
        <w:rPr>
          <w:lang w:val="en-US"/>
        </w:rPr>
      </w:pPr>
      <w:r w:rsidRPr="00764F1A">
        <w:rPr>
          <w:lang w:val="en-US"/>
        </w:rPr>
        <w:t>HRP</w:t>
      </w:r>
      <w:r w:rsidRPr="00764F1A">
        <w:rPr>
          <w:lang w:val="en-US"/>
        </w:rPr>
        <w:tab/>
        <w:t>Household Reference Person</w:t>
      </w:r>
    </w:p>
    <w:p w14:paraId="3CA412C7" w14:textId="676024E8" w:rsidR="00215496" w:rsidRPr="00764F1A" w:rsidRDefault="00215496" w:rsidP="00252C91">
      <w:pPr>
        <w:pStyle w:val="BodyText"/>
        <w:ind w:left="-426"/>
        <w:jc w:val="both"/>
        <w:rPr>
          <w:lang w:val="en-US"/>
        </w:rPr>
      </w:pPr>
      <w:r w:rsidRPr="00764F1A">
        <w:rPr>
          <w:lang w:val="en-US"/>
        </w:rPr>
        <w:t>LA</w:t>
      </w:r>
      <w:r w:rsidRPr="00764F1A">
        <w:rPr>
          <w:lang w:val="en-US"/>
        </w:rPr>
        <w:tab/>
      </w:r>
      <w:r w:rsidRPr="00764F1A">
        <w:rPr>
          <w:lang w:val="en-US"/>
        </w:rPr>
        <w:tab/>
        <w:t xml:space="preserve">Local Authority </w:t>
      </w:r>
    </w:p>
    <w:p w14:paraId="62142320" w14:textId="69AD7FB3" w:rsidR="007730CA" w:rsidRPr="00764F1A" w:rsidRDefault="007730CA" w:rsidP="00252C91">
      <w:pPr>
        <w:pStyle w:val="BodyText"/>
        <w:ind w:left="-426"/>
        <w:jc w:val="both"/>
        <w:rPr>
          <w:lang w:val="en-US"/>
        </w:rPr>
      </w:pPr>
      <w:r w:rsidRPr="00764F1A">
        <w:rPr>
          <w:lang w:val="en-US"/>
        </w:rPr>
        <w:t>LHN</w:t>
      </w:r>
      <w:r w:rsidRPr="00764F1A">
        <w:rPr>
          <w:lang w:val="en-US"/>
        </w:rPr>
        <w:tab/>
        <w:t>Local Housing Need</w:t>
      </w:r>
    </w:p>
    <w:p w14:paraId="6562F671" w14:textId="4008E512" w:rsidR="0080774F" w:rsidRPr="00764F1A" w:rsidRDefault="0080774F" w:rsidP="00252C91">
      <w:pPr>
        <w:pStyle w:val="BodyText"/>
        <w:ind w:left="-426"/>
        <w:jc w:val="both"/>
        <w:rPr>
          <w:lang w:val="en-US"/>
        </w:rPr>
      </w:pPr>
      <w:r w:rsidRPr="00764F1A">
        <w:rPr>
          <w:lang w:val="en-US"/>
        </w:rPr>
        <w:t>LHNA</w:t>
      </w:r>
      <w:r w:rsidRPr="00764F1A">
        <w:rPr>
          <w:lang w:val="en-US"/>
        </w:rPr>
        <w:tab/>
        <w:t>Local Housing Needs Assessment</w:t>
      </w:r>
    </w:p>
    <w:p w14:paraId="0C9D880B" w14:textId="3048C4B9" w:rsidR="007730CA" w:rsidRPr="00764F1A" w:rsidRDefault="007730CA" w:rsidP="00252C91">
      <w:pPr>
        <w:pStyle w:val="BodyText"/>
        <w:ind w:left="-426"/>
        <w:jc w:val="both"/>
        <w:rPr>
          <w:lang w:val="en-US"/>
        </w:rPr>
      </w:pPr>
      <w:r w:rsidRPr="00764F1A">
        <w:rPr>
          <w:lang w:val="en-US"/>
        </w:rPr>
        <w:t xml:space="preserve">LPA </w:t>
      </w:r>
      <w:r w:rsidRPr="00764F1A">
        <w:rPr>
          <w:lang w:val="en-US"/>
        </w:rPr>
        <w:tab/>
        <w:t>Local Planning Authority</w:t>
      </w:r>
    </w:p>
    <w:p w14:paraId="06763E9C" w14:textId="72AFB73C" w:rsidR="001E3FC2" w:rsidRPr="00764F1A" w:rsidRDefault="001E3FC2" w:rsidP="00252C91">
      <w:pPr>
        <w:pStyle w:val="BodyText"/>
        <w:ind w:left="-426"/>
        <w:jc w:val="both"/>
        <w:rPr>
          <w:lang w:val="en-US"/>
        </w:rPr>
      </w:pPr>
      <w:r w:rsidRPr="00764F1A">
        <w:rPr>
          <w:lang w:val="en-US"/>
        </w:rPr>
        <w:t>LSOA</w:t>
      </w:r>
      <w:r w:rsidRPr="00764F1A">
        <w:rPr>
          <w:lang w:val="en-US"/>
        </w:rPr>
        <w:tab/>
        <w:t>Lower Layer Super Output Area</w:t>
      </w:r>
    </w:p>
    <w:p w14:paraId="7BA5BD08" w14:textId="1CBF87AE" w:rsidR="006C336E" w:rsidRPr="00764F1A" w:rsidRDefault="006C336E" w:rsidP="006C336E">
      <w:pPr>
        <w:pStyle w:val="BodyText"/>
        <w:ind w:left="-426"/>
        <w:jc w:val="both"/>
      </w:pPr>
      <w:r w:rsidRPr="00764F1A">
        <w:t>MHCLG</w:t>
      </w:r>
      <w:r w:rsidRPr="00764F1A">
        <w:tab/>
        <w:t>Ministry of Housing, Communities, and Local Government</w:t>
      </w:r>
    </w:p>
    <w:p w14:paraId="07A29366" w14:textId="5A156451" w:rsidR="001E3FC2" w:rsidRPr="00764F1A" w:rsidRDefault="001E3FC2" w:rsidP="00252C91">
      <w:pPr>
        <w:pStyle w:val="BodyText"/>
        <w:ind w:left="-426"/>
        <w:jc w:val="both"/>
        <w:rPr>
          <w:lang w:val="en-US"/>
        </w:rPr>
      </w:pPr>
      <w:r w:rsidRPr="00764F1A">
        <w:rPr>
          <w:lang w:val="en-US"/>
        </w:rPr>
        <w:t>MSOA</w:t>
      </w:r>
      <w:r w:rsidRPr="00764F1A">
        <w:rPr>
          <w:lang w:val="en-US"/>
        </w:rPr>
        <w:tab/>
        <w:t>Middle Layer Super Output Area</w:t>
      </w:r>
    </w:p>
    <w:p w14:paraId="1278C020" w14:textId="01B66A72" w:rsidR="007730CA" w:rsidRPr="00764F1A" w:rsidRDefault="007730CA" w:rsidP="00252C91">
      <w:pPr>
        <w:pStyle w:val="BodyText"/>
        <w:ind w:left="-426"/>
        <w:jc w:val="both"/>
        <w:rPr>
          <w:lang w:val="en-US"/>
        </w:rPr>
      </w:pPr>
      <w:r w:rsidRPr="00764F1A">
        <w:rPr>
          <w:lang w:val="en-US"/>
        </w:rPr>
        <w:t xml:space="preserve">NA     </w:t>
      </w:r>
      <w:r w:rsidRPr="00764F1A">
        <w:rPr>
          <w:lang w:val="en-US"/>
        </w:rPr>
        <w:tab/>
        <w:t>Neighbourhood (Plan) Area</w:t>
      </w:r>
    </w:p>
    <w:p w14:paraId="3D6F52F5" w14:textId="011E3F50" w:rsidR="007730CA" w:rsidRPr="00764F1A" w:rsidRDefault="007730CA" w:rsidP="00252C91">
      <w:pPr>
        <w:pStyle w:val="BodyText"/>
        <w:ind w:left="-426"/>
        <w:jc w:val="both"/>
        <w:rPr>
          <w:lang w:val="en-US"/>
        </w:rPr>
      </w:pPr>
      <w:r w:rsidRPr="00764F1A">
        <w:rPr>
          <w:lang w:val="en-US"/>
        </w:rPr>
        <w:t xml:space="preserve">NP </w:t>
      </w:r>
      <w:r w:rsidRPr="00764F1A">
        <w:rPr>
          <w:lang w:val="en-US"/>
        </w:rPr>
        <w:tab/>
      </w:r>
      <w:r w:rsidR="00C05756" w:rsidRPr="00764F1A">
        <w:rPr>
          <w:lang w:val="en-US"/>
        </w:rPr>
        <w:tab/>
      </w:r>
      <w:r w:rsidRPr="00764F1A">
        <w:rPr>
          <w:lang w:val="en-US"/>
        </w:rPr>
        <w:t>Neighbourhood Plan</w:t>
      </w:r>
    </w:p>
    <w:p w14:paraId="72CE57D8" w14:textId="4E1E43EC" w:rsidR="007730CA" w:rsidRPr="00764F1A" w:rsidRDefault="007730CA" w:rsidP="00252C91">
      <w:pPr>
        <w:pStyle w:val="BodyText"/>
        <w:ind w:left="-426"/>
        <w:jc w:val="both"/>
        <w:rPr>
          <w:lang w:val="en-US"/>
        </w:rPr>
      </w:pPr>
      <w:r w:rsidRPr="00764F1A">
        <w:rPr>
          <w:lang w:val="en-US"/>
        </w:rPr>
        <w:t xml:space="preserve">NPPF </w:t>
      </w:r>
      <w:r w:rsidRPr="00764F1A">
        <w:rPr>
          <w:lang w:val="en-US"/>
        </w:rPr>
        <w:tab/>
        <w:t>National Planning Policy Framework</w:t>
      </w:r>
    </w:p>
    <w:p w14:paraId="0404D5EE" w14:textId="396F7BF3" w:rsidR="008F1B40" w:rsidRPr="00764F1A" w:rsidRDefault="008F1B40" w:rsidP="00252C91">
      <w:pPr>
        <w:pStyle w:val="BodyText"/>
        <w:ind w:left="-426"/>
        <w:jc w:val="both"/>
        <w:rPr>
          <w:lang w:val="en-US"/>
        </w:rPr>
      </w:pPr>
      <w:r w:rsidRPr="00764F1A">
        <w:rPr>
          <w:lang w:val="en-US"/>
        </w:rPr>
        <w:t>OA</w:t>
      </w:r>
      <w:r w:rsidRPr="00764F1A">
        <w:rPr>
          <w:lang w:val="en-US"/>
        </w:rPr>
        <w:tab/>
      </w:r>
      <w:r w:rsidRPr="00764F1A">
        <w:rPr>
          <w:lang w:val="en-US"/>
        </w:rPr>
        <w:tab/>
        <w:t>Output Area</w:t>
      </w:r>
    </w:p>
    <w:p w14:paraId="710CE750" w14:textId="7A208A87" w:rsidR="007730CA" w:rsidRPr="00764F1A" w:rsidRDefault="007730CA" w:rsidP="00252C91">
      <w:pPr>
        <w:pStyle w:val="BodyText"/>
        <w:ind w:left="-426"/>
        <w:jc w:val="both"/>
        <w:rPr>
          <w:lang w:val="en-US"/>
        </w:rPr>
      </w:pPr>
      <w:r w:rsidRPr="00764F1A">
        <w:rPr>
          <w:lang w:val="en-US"/>
        </w:rPr>
        <w:t xml:space="preserve">ONS </w:t>
      </w:r>
      <w:r w:rsidRPr="00764F1A">
        <w:rPr>
          <w:lang w:val="en-US"/>
        </w:rPr>
        <w:tab/>
        <w:t>Office for National Statistics</w:t>
      </w:r>
    </w:p>
    <w:p w14:paraId="1712CCFE" w14:textId="4D6F4D0F" w:rsidR="007730CA" w:rsidRPr="00764F1A" w:rsidRDefault="007730CA" w:rsidP="00252C91">
      <w:pPr>
        <w:pStyle w:val="BodyText"/>
        <w:ind w:left="-426"/>
        <w:jc w:val="both"/>
        <w:rPr>
          <w:lang w:val="en-US"/>
        </w:rPr>
      </w:pPr>
      <w:r w:rsidRPr="00764F1A">
        <w:rPr>
          <w:lang w:val="en-US"/>
        </w:rPr>
        <w:t xml:space="preserve">PPG </w:t>
      </w:r>
      <w:r w:rsidRPr="00764F1A">
        <w:rPr>
          <w:lang w:val="en-US"/>
        </w:rPr>
        <w:tab/>
        <w:t>Planning Practice Guidance</w:t>
      </w:r>
    </w:p>
    <w:p w14:paraId="474EF986" w14:textId="41EC2791" w:rsidR="007730CA" w:rsidRPr="00764F1A" w:rsidRDefault="007730CA" w:rsidP="00252C91">
      <w:pPr>
        <w:pStyle w:val="BodyText"/>
        <w:ind w:left="-426"/>
        <w:jc w:val="both"/>
        <w:rPr>
          <w:lang w:val="en-US"/>
        </w:rPr>
      </w:pPr>
      <w:r w:rsidRPr="00764F1A">
        <w:rPr>
          <w:lang w:val="en-US"/>
        </w:rPr>
        <w:t xml:space="preserve">PRS </w:t>
      </w:r>
      <w:r w:rsidRPr="00764F1A">
        <w:rPr>
          <w:lang w:val="en-US"/>
        </w:rPr>
        <w:tab/>
        <w:t>Private Rented Sector</w:t>
      </w:r>
    </w:p>
    <w:p w14:paraId="3BC76DEF" w14:textId="59F49CCC" w:rsidR="007730CA" w:rsidRPr="00764F1A" w:rsidRDefault="007730CA" w:rsidP="00252C91">
      <w:pPr>
        <w:pStyle w:val="BodyText"/>
        <w:ind w:left="-426"/>
        <w:jc w:val="both"/>
        <w:rPr>
          <w:lang w:val="en-US"/>
        </w:rPr>
      </w:pPr>
      <w:r w:rsidRPr="00764F1A">
        <w:rPr>
          <w:lang w:val="en-US"/>
        </w:rPr>
        <w:t>RQ</w:t>
      </w:r>
      <w:r w:rsidRPr="00764F1A">
        <w:rPr>
          <w:lang w:val="en-US"/>
        </w:rPr>
        <w:tab/>
      </w:r>
      <w:r w:rsidR="00C05756" w:rsidRPr="00764F1A">
        <w:rPr>
          <w:lang w:val="en-US"/>
        </w:rPr>
        <w:tab/>
      </w:r>
      <w:r w:rsidRPr="00764F1A">
        <w:rPr>
          <w:lang w:val="en-US"/>
        </w:rPr>
        <w:t>Research Question</w:t>
      </w:r>
    </w:p>
    <w:p w14:paraId="6CD14502" w14:textId="1BB6CDD4" w:rsidR="007730CA" w:rsidRPr="00764F1A" w:rsidRDefault="007730CA" w:rsidP="00252C91">
      <w:pPr>
        <w:pStyle w:val="BodyText"/>
        <w:ind w:left="-426"/>
        <w:jc w:val="both"/>
        <w:rPr>
          <w:lang w:val="en-US"/>
        </w:rPr>
      </w:pPr>
      <w:r w:rsidRPr="00764F1A">
        <w:rPr>
          <w:lang w:val="en-US"/>
        </w:rPr>
        <w:t>SHMA</w:t>
      </w:r>
      <w:r w:rsidR="00C05756" w:rsidRPr="00764F1A">
        <w:rPr>
          <w:lang w:val="en-US"/>
        </w:rPr>
        <w:tab/>
      </w:r>
      <w:r w:rsidRPr="00764F1A">
        <w:rPr>
          <w:lang w:val="en-US"/>
        </w:rPr>
        <w:t>Strategic Housing Market Assessment</w:t>
      </w:r>
    </w:p>
    <w:p w14:paraId="3351601A" w14:textId="4F0303EC" w:rsidR="007730CA" w:rsidRPr="00764F1A" w:rsidRDefault="007730CA" w:rsidP="00252C91">
      <w:pPr>
        <w:pStyle w:val="BodyText"/>
        <w:ind w:left="-426"/>
        <w:jc w:val="both"/>
        <w:rPr>
          <w:lang w:val="en-US"/>
        </w:rPr>
      </w:pPr>
      <w:r w:rsidRPr="00764F1A">
        <w:rPr>
          <w:lang w:val="en-US"/>
        </w:rPr>
        <w:t>VOA</w:t>
      </w:r>
      <w:r w:rsidRPr="00764F1A">
        <w:rPr>
          <w:lang w:val="en-US"/>
        </w:rPr>
        <w:tab/>
        <w:t>Valuation Office Agency</w:t>
      </w:r>
    </w:p>
    <w:p w14:paraId="65251542" w14:textId="05C49CBC" w:rsidR="007730CA" w:rsidRPr="00764F1A" w:rsidRDefault="007730CA" w:rsidP="00252C91">
      <w:pPr>
        <w:jc w:val="both"/>
        <w:rPr>
          <w:b/>
          <w:bCs/>
          <w:noProof/>
        </w:rPr>
        <w:sectPr w:rsidR="007730CA" w:rsidRPr="00764F1A" w:rsidSect="00E83FD2">
          <w:footerReference w:type="default" r:id="rId19"/>
          <w:pgSz w:w="11906" w:h="16838" w:code="9"/>
          <w:pgMar w:top="1134" w:right="1440" w:bottom="851" w:left="1440" w:header="426" w:footer="284" w:gutter="0"/>
          <w:pgNumType w:fmt="lowerRoman" w:start="1"/>
          <w:cols w:space="708"/>
          <w:docGrid w:linePitch="360"/>
        </w:sectPr>
      </w:pPr>
    </w:p>
    <w:p w14:paraId="18764416" w14:textId="5EE92729" w:rsidR="00401D2B" w:rsidRPr="00764F1A" w:rsidRDefault="00401D2B" w:rsidP="00252C91">
      <w:pPr>
        <w:pStyle w:val="Heading1"/>
        <w:rPr>
          <w:color w:val="auto"/>
        </w:rPr>
      </w:pPr>
      <w:bookmarkStart w:id="31" w:name="_Toc327441327"/>
      <w:bookmarkStart w:id="32" w:name="_Toc461696201"/>
      <w:bookmarkStart w:id="33" w:name="_Toc31722616"/>
      <w:bookmarkStart w:id="34" w:name="_Toc102731824"/>
      <w:bookmarkStart w:id="35" w:name="_Toc170398381"/>
      <w:bookmarkStart w:id="36" w:name="_Toc185339909"/>
      <w:bookmarkStart w:id="37" w:name="BodyContent"/>
      <w:r w:rsidRPr="00764F1A">
        <w:rPr>
          <w:color w:val="auto"/>
        </w:rPr>
        <w:lastRenderedPageBreak/>
        <w:t>Executive Summary</w:t>
      </w:r>
      <w:bookmarkEnd w:id="31"/>
      <w:bookmarkEnd w:id="32"/>
      <w:bookmarkEnd w:id="33"/>
      <w:bookmarkEnd w:id="34"/>
      <w:bookmarkEnd w:id="35"/>
      <w:bookmarkEnd w:id="36"/>
    </w:p>
    <w:p w14:paraId="696B5562" w14:textId="6A266106" w:rsidR="00D11A82" w:rsidRPr="008D77D6" w:rsidRDefault="00D143F2" w:rsidP="003C41AA">
      <w:pPr>
        <w:pStyle w:val="Numberedtext"/>
        <w:jc w:val="both"/>
      </w:pPr>
      <w:r w:rsidRPr="008D77D6">
        <w:t>Consett</w:t>
      </w:r>
      <w:r w:rsidR="001C699F" w:rsidRPr="008D77D6">
        <w:t xml:space="preserve"> is a Neighbourhood Area</w:t>
      </w:r>
      <w:r w:rsidR="00A160AB" w:rsidRPr="008D77D6">
        <w:t xml:space="preserve"> (NA)</w:t>
      </w:r>
      <w:r w:rsidR="001C699F" w:rsidRPr="008D77D6">
        <w:t xml:space="preserve"> located in </w:t>
      </w:r>
      <w:r w:rsidR="00C60545" w:rsidRPr="008D77D6">
        <w:t xml:space="preserve">County Durham. </w:t>
      </w:r>
      <w:r w:rsidR="001C699F" w:rsidRPr="008D77D6">
        <w:t xml:space="preserve">The </w:t>
      </w:r>
      <w:r w:rsidR="00A160AB" w:rsidRPr="008D77D6">
        <w:t>NA</w:t>
      </w:r>
      <w:r w:rsidR="001C699F" w:rsidRPr="008D77D6">
        <w:t xml:space="preserve"> boundary covers the areas administered by </w:t>
      </w:r>
      <w:r w:rsidR="00C60545" w:rsidRPr="008D77D6">
        <w:t xml:space="preserve">the </w:t>
      </w:r>
      <w:commentRangeStart w:id="38"/>
      <w:r w:rsidR="00C60545" w:rsidRPr="008D77D6">
        <w:t xml:space="preserve">Consett Town Council. </w:t>
      </w:r>
      <w:commentRangeEnd w:id="38"/>
      <w:r w:rsidR="00505B6A">
        <w:rPr>
          <w:rStyle w:val="CommentReference"/>
          <w:rFonts w:asciiTheme="minorHAnsi" w:eastAsiaTheme="minorHAnsi" w:hAnsiTheme="minorHAnsi" w:cstheme="minorBidi"/>
          <w:lang w:val="en-GB"/>
        </w:rPr>
        <w:commentReference w:id="38"/>
      </w:r>
    </w:p>
    <w:p w14:paraId="337575D3" w14:textId="5D4F2A3A" w:rsidR="00D11A82" w:rsidRPr="008D77D6" w:rsidRDefault="001C699F" w:rsidP="003C41AA">
      <w:pPr>
        <w:pStyle w:val="Numberedtext"/>
        <w:jc w:val="both"/>
      </w:pPr>
      <w:r w:rsidRPr="008D77D6">
        <w:t xml:space="preserve">The </w:t>
      </w:r>
      <w:r w:rsidR="00223F4D" w:rsidRPr="008D77D6">
        <w:t xml:space="preserve">2021 Census recorded </w:t>
      </w:r>
      <w:r w:rsidR="0078096F" w:rsidRPr="008D77D6">
        <w:t xml:space="preserve">38,525 </w:t>
      </w:r>
      <w:r w:rsidRPr="008D77D6">
        <w:t>individuals</w:t>
      </w:r>
      <w:r w:rsidR="00223F4D" w:rsidRPr="008D77D6">
        <w:t xml:space="preserve"> in </w:t>
      </w:r>
      <w:r w:rsidR="00D143F2" w:rsidRPr="008D77D6">
        <w:t>Consett</w:t>
      </w:r>
      <w:r w:rsidRPr="008D77D6">
        <w:t xml:space="preserve">, </w:t>
      </w:r>
      <w:r w:rsidR="001E453D" w:rsidRPr="008D77D6">
        <w:t>indicating</w:t>
      </w:r>
      <w:r w:rsidRPr="008D77D6">
        <w:t xml:space="preserve"> an increase of </w:t>
      </w:r>
      <w:r w:rsidR="0078096F" w:rsidRPr="008D77D6">
        <w:t>4%</w:t>
      </w:r>
      <w:r w:rsidRPr="008D77D6">
        <w:t xml:space="preserve"> since the 2011 Census.</w:t>
      </w:r>
    </w:p>
    <w:p w14:paraId="04F53389" w14:textId="2FF303D7" w:rsidR="00D11A82" w:rsidRPr="008D77D6" w:rsidRDefault="001C699F" w:rsidP="003C41AA">
      <w:pPr>
        <w:pStyle w:val="Numberedtext"/>
        <w:jc w:val="both"/>
      </w:pPr>
      <w:r w:rsidRPr="008D77D6">
        <w:t xml:space="preserve">There has been significant development in </w:t>
      </w:r>
      <w:r w:rsidR="00D143F2" w:rsidRPr="008D77D6">
        <w:t>Consett</w:t>
      </w:r>
      <w:r w:rsidRPr="008D77D6">
        <w:t xml:space="preserve"> </w:t>
      </w:r>
      <w:r w:rsidR="001E453D" w:rsidRPr="008D77D6">
        <w:t xml:space="preserve">in recent years. </w:t>
      </w:r>
      <w:r w:rsidR="00DC6F3A" w:rsidRPr="008D77D6">
        <w:t>Durham County Council</w:t>
      </w:r>
      <w:r w:rsidR="0010019E" w:rsidRPr="008D77D6">
        <w:t xml:space="preserve"> </w:t>
      </w:r>
      <w:r w:rsidR="001E453D" w:rsidRPr="008D77D6">
        <w:t xml:space="preserve">has </w:t>
      </w:r>
      <w:r w:rsidRPr="008D77D6">
        <w:t>provid</w:t>
      </w:r>
      <w:r w:rsidR="001E453D" w:rsidRPr="008D77D6">
        <w:t>ed</w:t>
      </w:r>
      <w:r w:rsidRPr="008D77D6">
        <w:t xml:space="preserve"> data </w:t>
      </w:r>
      <w:r w:rsidR="001E453D" w:rsidRPr="008D77D6">
        <w:t xml:space="preserve">showing that </w:t>
      </w:r>
      <w:r w:rsidR="00B61532" w:rsidRPr="008D77D6">
        <w:t xml:space="preserve">1,137 </w:t>
      </w:r>
      <w:r w:rsidR="001E453D" w:rsidRPr="008D77D6">
        <w:t>new homes have been built since 2011</w:t>
      </w:r>
      <w:r w:rsidRPr="008D77D6">
        <w:t xml:space="preserve">. The </w:t>
      </w:r>
      <w:r w:rsidR="00A160AB" w:rsidRPr="008D77D6">
        <w:t xml:space="preserve">current </w:t>
      </w:r>
      <w:r w:rsidRPr="008D77D6">
        <w:t xml:space="preserve">total </w:t>
      </w:r>
      <w:r w:rsidR="00A160AB" w:rsidRPr="008D77D6">
        <w:t>number</w:t>
      </w:r>
      <w:r w:rsidRPr="008D77D6">
        <w:t xml:space="preserve"> of dwellings in the NA is therefore estimated to be </w:t>
      </w:r>
      <w:r w:rsidR="00B61532" w:rsidRPr="008D77D6">
        <w:t>18,209</w:t>
      </w:r>
      <w:r w:rsidRPr="008D77D6">
        <w:t xml:space="preserve">. </w:t>
      </w:r>
    </w:p>
    <w:p w14:paraId="1C2BFE71" w14:textId="190012FF" w:rsidR="00D11A82" w:rsidRPr="00764F1A" w:rsidRDefault="005C2E2E" w:rsidP="003C41AA">
      <w:pPr>
        <w:pStyle w:val="Numberedtext"/>
        <w:jc w:val="both"/>
      </w:pPr>
      <w:r w:rsidRPr="008D77D6">
        <w:t>This</w:t>
      </w:r>
      <w:r w:rsidR="001C699F" w:rsidRPr="008D77D6">
        <w:t xml:space="preserve"> Executive Summary details the conclusions of each chapter of th</w:t>
      </w:r>
      <w:r w:rsidR="00A160AB" w:rsidRPr="008D77D6">
        <w:t>is Housing Needs Assessment (HNA)</w:t>
      </w:r>
      <w:r w:rsidR="001C699F" w:rsidRPr="008D77D6">
        <w:t xml:space="preserve">, addressing </w:t>
      </w:r>
      <w:r w:rsidR="00A160AB" w:rsidRPr="008D77D6">
        <w:t xml:space="preserve">each of </w:t>
      </w:r>
      <w:r w:rsidR="001C699F" w:rsidRPr="008D77D6">
        <w:t xml:space="preserve">the </w:t>
      </w:r>
      <w:r w:rsidR="00A160AB" w:rsidRPr="008D77D6">
        <w:t>themes agreed with the</w:t>
      </w:r>
      <w:r w:rsidR="00B61532" w:rsidRPr="008D77D6">
        <w:t xml:space="preserve"> Consett Neighbourhood Plan</w:t>
      </w:r>
      <w:r w:rsidR="008D77D6" w:rsidRPr="008D77D6">
        <w:t xml:space="preserve"> Working Forum</w:t>
      </w:r>
      <w:r w:rsidR="00B61532" w:rsidRPr="008D77D6">
        <w:t xml:space="preserve"> </w:t>
      </w:r>
      <w:r w:rsidR="001C699F" w:rsidRPr="008D77D6">
        <w:t>at the outset of the research</w:t>
      </w:r>
      <w:r w:rsidR="001C699F" w:rsidRPr="00764F1A">
        <w:t>.</w:t>
      </w:r>
    </w:p>
    <w:p w14:paraId="6891AC9C" w14:textId="4FFF3F17" w:rsidR="00840AB7" w:rsidRDefault="006D1893" w:rsidP="003C41AA">
      <w:pPr>
        <w:pStyle w:val="Numberedtext"/>
        <w:jc w:val="both"/>
      </w:pPr>
      <w:r w:rsidRPr="00764F1A">
        <w:t xml:space="preserve">Data from the 2021 Census is </w:t>
      </w:r>
      <w:r w:rsidR="00D11A82" w:rsidRPr="00764F1A">
        <w:t xml:space="preserve">continuing to be </w:t>
      </w:r>
      <w:r w:rsidRPr="00764F1A">
        <w:t xml:space="preserve">released. At present, the available data covers population, households, tenure, and dwelling stock characteristics. Some data from the Census 2021 at the </w:t>
      </w:r>
      <w:proofErr w:type="spellStart"/>
      <w:r w:rsidRPr="00764F1A">
        <w:t>localised</w:t>
      </w:r>
      <w:proofErr w:type="spellEnd"/>
      <w:r w:rsidRPr="00764F1A">
        <w:t xml:space="preserve"> level </w:t>
      </w:r>
      <w:r w:rsidR="00D11A82" w:rsidRPr="00764F1A">
        <w:t>is not yet available,</w:t>
      </w:r>
      <w:r w:rsidRPr="00764F1A">
        <w:t xml:space="preserve"> as well as </w:t>
      </w:r>
      <w:r w:rsidR="00D11A82" w:rsidRPr="00764F1A">
        <w:t xml:space="preserve">some </w:t>
      </w:r>
      <w:r w:rsidRPr="00764F1A">
        <w:t>data comparing numerous variables. As such</w:t>
      </w:r>
      <w:r w:rsidR="00E113CD" w:rsidRPr="00764F1A">
        <w:t xml:space="preserve"> this</w:t>
      </w:r>
      <w:r w:rsidRPr="00764F1A">
        <w:t xml:space="preserve"> HNA will draw on the latest available data from the 2021 Census where possible and will also continue to use other data sets, including 2011 Census, Valuation Office Agency data, and ONS projections </w:t>
      </w:r>
      <w:r w:rsidR="00E113CD" w:rsidRPr="00764F1A">
        <w:t xml:space="preserve">where necessary </w:t>
      </w:r>
      <w:r w:rsidRPr="00764F1A">
        <w:t xml:space="preserve">to build up evidence at the neighbourhood level. </w:t>
      </w:r>
    </w:p>
    <w:p w14:paraId="2D6D053C" w14:textId="7D5CCED9" w:rsidR="00BE4B9A" w:rsidRPr="00BE4B9A" w:rsidRDefault="00BE4B9A" w:rsidP="00BE4B9A">
      <w:pPr>
        <w:pStyle w:val="Numberedtext"/>
        <w:jc w:val="both"/>
      </w:pPr>
      <w:r w:rsidRPr="00434C10">
        <w:t>This HNA has been undertaken in line with the National Planning Policy Framework (NPPF)</w:t>
      </w:r>
      <w:r w:rsidRPr="00434C10">
        <w:rPr>
          <w:rStyle w:val="FootnoteReference"/>
        </w:rPr>
        <w:t xml:space="preserve"> </w:t>
      </w:r>
      <w:r w:rsidRPr="00434C10">
        <w:rPr>
          <w:rStyle w:val="FootnoteReference"/>
        </w:rPr>
        <w:footnoteReference w:id="2"/>
      </w:r>
      <w:r w:rsidRPr="00434C10">
        <w:t xml:space="preserve"> and practice guidance (both published in December 2024). </w:t>
      </w:r>
      <w:r w:rsidRPr="00434C10">
        <w:rPr>
          <w:rStyle w:val="FootnoteReference"/>
        </w:rPr>
        <w:footnoteReference w:id="3"/>
      </w:r>
    </w:p>
    <w:p w14:paraId="20F93762" w14:textId="417DDCF7" w:rsidR="00840AB7" w:rsidRPr="00764F1A" w:rsidRDefault="00840AB7" w:rsidP="003C41AA">
      <w:pPr>
        <w:pStyle w:val="Heading2"/>
        <w:jc w:val="both"/>
        <w:rPr>
          <w:color w:val="auto"/>
        </w:rPr>
      </w:pPr>
      <w:r w:rsidRPr="00764F1A">
        <w:rPr>
          <w:color w:val="auto"/>
        </w:rPr>
        <w:t>Conclusions – Affordability and Affordable Housing</w:t>
      </w:r>
    </w:p>
    <w:p w14:paraId="6F6BBFE1" w14:textId="77777777" w:rsidR="00C60545" w:rsidRPr="00764F1A" w:rsidRDefault="00C60545" w:rsidP="00C60545">
      <w:pPr>
        <w:pStyle w:val="Heading4"/>
        <w:jc w:val="both"/>
        <w:rPr>
          <w:color w:val="auto"/>
        </w:rPr>
      </w:pPr>
      <w:r w:rsidRPr="00764F1A">
        <w:rPr>
          <w:color w:val="auto"/>
        </w:rPr>
        <w:t>Current tenure profile</w:t>
      </w:r>
    </w:p>
    <w:p w14:paraId="13AD0344" w14:textId="77777777" w:rsidR="00C60545" w:rsidRDefault="00C60545" w:rsidP="00C60545">
      <w:pPr>
        <w:pStyle w:val="Numberedtext"/>
        <w:jc w:val="both"/>
      </w:pPr>
      <w:r>
        <w:t xml:space="preserve">Home ownership is the dominant tenure in Consett at 66% of all households, which is slightly higher than the average across County Durham. Of the remaining households, the proportion of the Consett population living in private rented homes (18%) is broadly comparable to the county average. However, there is a smaller proportion of people living in social rented homes (16%) than is common across County Durham (20%). </w:t>
      </w:r>
    </w:p>
    <w:p w14:paraId="6F630A29" w14:textId="77777777" w:rsidR="00C60545" w:rsidRPr="00764F1A" w:rsidRDefault="00C60545" w:rsidP="00C60545">
      <w:pPr>
        <w:pStyle w:val="Numberedtext"/>
        <w:jc w:val="both"/>
      </w:pPr>
      <w:r>
        <w:t xml:space="preserve">In terms of how the tenure profile in Consett has changed over the last decade, there has been a significant increase in the proportion of the Consett population living in privately rented homes (+34%). This </w:t>
      </w:r>
      <w:proofErr w:type="gramStart"/>
      <w:r>
        <w:t>is in contrast to</w:t>
      </w:r>
      <w:proofErr w:type="gramEnd"/>
      <w:r>
        <w:t xml:space="preserve"> slower growth in both the number of new homeowners and the delivery of new social rented homes. </w:t>
      </w:r>
    </w:p>
    <w:p w14:paraId="4589CB85" w14:textId="77777777" w:rsidR="00C60545" w:rsidRPr="00764F1A" w:rsidRDefault="00C60545" w:rsidP="00C60545">
      <w:pPr>
        <w:pStyle w:val="Heading4"/>
        <w:jc w:val="both"/>
        <w:rPr>
          <w:color w:val="auto"/>
        </w:rPr>
      </w:pPr>
      <w:r w:rsidRPr="00764F1A">
        <w:rPr>
          <w:color w:val="auto"/>
        </w:rPr>
        <w:t>Affordability</w:t>
      </w:r>
    </w:p>
    <w:p w14:paraId="52517446" w14:textId="77777777" w:rsidR="00C60545" w:rsidRPr="008C3E79" w:rsidRDefault="00C60545" w:rsidP="00C60545">
      <w:pPr>
        <w:pStyle w:val="Numberedtext"/>
        <w:jc w:val="both"/>
      </w:pPr>
      <w:r>
        <w:t xml:space="preserve">Home values in Consett have followed a clear upward growth over the last decade. The current median house price (middle number when arranged from lowest to </w:t>
      </w:r>
      <w:r>
        <w:lastRenderedPageBreak/>
        <w:t xml:space="preserve">highest) is £128,000, which is 22% higher than the median in 2013. The lower quartile price (the lowest 25% of prices, used as a good proxy for entry-level housing) sits at £84,000 and is 12% higher than the 2013 LQ figure. </w:t>
      </w:r>
    </w:p>
    <w:p w14:paraId="19E67BCC" w14:textId="77777777" w:rsidR="00C60545" w:rsidRPr="002B6AEE" w:rsidRDefault="00C60545" w:rsidP="00C60545">
      <w:pPr>
        <w:pStyle w:val="Numberedtext"/>
        <w:jc w:val="both"/>
      </w:pPr>
      <w:r w:rsidRPr="002B6AEE">
        <w:t xml:space="preserve">It is worth noting that the current median house price in Consett is slightly more expensive than the current median for </w:t>
      </w:r>
      <w:r>
        <w:t>County Durham</w:t>
      </w:r>
      <w:r w:rsidRPr="002B6AEE">
        <w:t xml:space="preserve"> as a whole. </w:t>
      </w:r>
    </w:p>
    <w:p w14:paraId="3A27F6D5" w14:textId="77777777" w:rsidR="00C60545" w:rsidRDefault="00C60545" w:rsidP="00C60545">
      <w:pPr>
        <w:pStyle w:val="Numberedtext"/>
        <w:jc w:val="both"/>
      </w:pPr>
      <w:r w:rsidRPr="00F54BBE">
        <w:t xml:space="preserve">AECOM has estimated the annual income required to afford various tenures of housing in Consett. These thresholds are compared to local incomes to determine which options are the most appropriate for local people going forward. The average household income in the NA was £38,750 in 2020, and the lower quartile income (per person) was £17,800. </w:t>
      </w:r>
    </w:p>
    <w:p w14:paraId="2A352C49" w14:textId="77777777" w:rsidR="00C60545" w:rsidRDefault="00C60545" w:rsidP="00C60545">
      <w:pPr>
        <w:pStyle w:val="Numberedtext"/>
        <w:jc w:val="both"/>
      </w:pPr>
      <w:r>
        <w:t xml:space="preserve">It was found that house prices in Consett are generally affordable to households with average incomes. The median house price would require an annual income around 18% below the current average. For households made up of two lower earners, median house prices are 8% below their estimated income threshold. However, house prices are generally out of reach of households made up of one lower earner. </w:t>
      </w:r>
    </w:p>
    <w:p w14:paraId="54F0BD5E" w14:textId="77777777" w:rsidR="00C60545" w:rsidRPr="00F54BBE" w:rsidRDefault="00C60545" w:rsidP="00C60545">
      <w:pPr>
        <w:pStyle w:val="Numberedtext"/>
        <w:jc w:val="both"/>
      </w:pPr>
      <w:r>
        <w:t xml:space="preserve">Private renting is slightly less affordable than home ownership, average earning households could afford average rents, but these would be out of reach for households made up of two lower earners. Both income groups could comfortably entry level rents, but all the given private rental thresholds are out of reach for households made up of one lower earner. </w:t>
      </w:r>
    </w:p>
    <w:p w14:paraId="329D989D" w14:textId="77777777" w:rsidR="00C60545" w:rsidRPr="00211D8E" w:rsidRDefault="00C60545" w:rsidP="00C60545">
      <w:pPr>
        <w:pStyle w:val="Numberedtext"/>
        <w:jc w:val="both"/>
      </w:pPr>
      <w:r w:rsidRPr="00211D8E">
        <w:t xml:space="preserve">Subsidised routes to home ownership like First Homes and shared ownership are intended to target people who can afford to rent but not to buy. In Consett, the income required to </w:t>
      </w:r>
      <w:proofErr w:type="gramStart"/>
      <w:r w:rsidRPr="00211D8E">
        <w:t>buy</w:t>
      </w:r>
      <w:proofErr w:type="gramEnd"/>
      <w:r w:rsidRPr="00211D8E">
        <w:t xml:space="preserve"> and rent is broadly the same</w:t>
      </w:r>
      <w:r>
        <w:t>,</w:t>
      </w:r>
      <w:r w:rsidRPr="00211D8E">
        <w:t xml:space="preserve"> meaning it is difficult to define who may benefit from Affordable Home ownership products. However, given the relative affordability of sale options for average and lower earning households, it is likely that access to a deposit is a significant barrier to home ownership for these groups. </w:t>
      </w:r>
    </w:p>
    <w:p w14:paraId="62F4943A" w14:textId="77777777" w:rsidR="00C60545" w:rsidRPr="00764F1A" w:rsidRDefault="00C60545" w:rsidP="00C60545">
      <w:pPr>
        <w:pStyle w:val="Numberedtext"/>
        <w:jc w:val="both"/>
      </w:pPr>
      <w:r w:rsidRPr="001922CB">
        <w:t xml:space="preserve">Both social and affordable rented housing appears generally affordable to households with a single lower earner on the basis of their earnings alone, but </w:t>
      </w:r>
      <w:proofErr w:type="gramStart"/>
      <w:r w:rsidRPr="001922CB">
        <w:t>low income</w:t>
      </w:r>
      <w:proofErr w:type="gramEnd"/>
      <w:r w:rsidRPr="001922CB">
        <w:t xml:space="preserve"> households may be entitled to housing benefit to support their rental costs depending on their particular circumstances.</w:t>
      </w:r>
    </w:p>
    <w:p w14:paraId="5BE76310" w14:textId="77777777" w:rsidR="00C60545" w:rsidRPr="00764F1A" w:rsidRDefault="00C60545" w:rsidP="00C60545">
      <w:pPr>
        <w:pStyle w:val="Heading4"/>
        <w:jc w:val="both"/>
        <w:rPr>
          <w:color w:val="auto"/>
        </w:rPr>
      </w:pPr>
      <w:r w:rsidRPr="00764F1A">
        <w:rPr>
          <w:color w:val="auto"/>
        </w:rPr>
        <w:t>The need for Affordable Housing</w:t>
      </w:r>
    </w:p>
    <w:p w14:paraId="56D04F87" w14:textId="77777777" w:rsidR="00C60545" w:rsidRPr="00B65726" w:rsidRDefault="00C60545" w:rsidP="00C60545">
      <w:pPr>
        <w:pStyle w:val="Numberedtext"/>
        <w:jc w:val="both"/>
      </w:pPr>
      <w:r w:rsidRPr="00C60545">
        <w:t xml:space="preserve">Following the county wide SHMA undertaken by County Durham in 2018, this study estimates the need for 62 homes per annum over the Consett Neighbourhood Plan period (2024 – 2040). The report does not provide a separate demand figure for Affordable Home ownership products. </w:t>
      </w:r>
      <w:r w:rsidRPr="00B65726">
        <w:t xml:space="preserve">AECOM </w:t>
      </w:r>
      <w:proofErr w:type="gramStart"/>
      <w:r w:rsidRPr="00B65726">
        <w:t>modelling  suggests</w:t>
      </w:r>
      <w:proofErr w:type="gramEnd"/>
      <w:r w:rsidRPr="00B65726">
        <w:t xml:space="preserve"> that Consett has a robust long-term demand of 75.6 affordable home ownership dwellings per annum over the Neighbourhood Plan period. </w:t>
      </w:r>
      <w:r w:rsidRPr="00C60545">
        <w:t>The</w:t>
      </w:r>
      <w:r w:rsidRPr="00B65726">
        <w:t xml:space="preserve"> households eligible for affordable home ownership products typically do not necessarily lack their own housing but would prefer to buy rather than rent. They have been included in the national planning definition of those in need of Affordable Housing, but their needs are less acute than those on the waiting list for affordable rented housing.</w:t>
      </w:r>
    </w:p>
    <w:p w14:paraId="1087CB68" w14:textId="77777777" w:rsidR="00C60545" w:rsidRPr="00764F1A" w:rsidRDefault="00C60545" w:rsidP="00C60545">
      <w:pPr>
        <w:pStyle w:val="Heading4"/>
        <w:jc w:val="both"/>
        <w:rPr>
          <w:color w:val="auto"/>
        </w:rPr>
      </w:pPr>
      <w:r w:rsidRPr="00764F1A">
        <w:rPr>
          <w:color w:val="auto"/>
        </w:rPr>
        <w:lastRenderedPageBreak/>
        <w:t>Affordable Housing policy</w:t>
      </w:r>
    </w:p>
    <w:p w14:paraId="449314B2" w14:textId="77777777" w:rsidR="00C60545" w:rsidRPr="00EC4FA2" w:rsidRDefault="00C60545" w:rsidP="00C60545">
      <w:pPr>
        <w:pStyle w:val="Numberedtext"/>
        <w:jc w:val="both"/>
      </w:pPr>
      <w:r w:rsidRPr="00EC4FA2">
        <w:t xml:space="preserve">Affordable Housing is typically provided and made financially viable by Local and Neighbourhood Plan policies that require it to be included at a set proportion of market housing developments. The adopted County Durham Plan policy on this subject requires between 10% and 25% of all new housing to be affordable, depending on the location of sites in local policy map of housing ‘viability </w:t>
      </w:r>
      <w:proofErr w:type="gramStart"/>
      <w:r w:rsidRPr="00EC4FA2">
        <w:t>areas’</w:t>
      </w:r>
      <w:proofErr w:type="gramEnd"/>
      <w:r w:rsidRPr="00EC4FA2">
        <w:t xml:space="preserve">. For Consett, the NA boundary contains high, medium and low value areas capable of delivering a contribution of between 10% and 20%. </w:t>
      </w:r>
    </w:p>
    <w:p w14:paraId="598DC82E" w14:textId="77777777" w:rsidR="00C60545" w:rsidRPr="00B95B3F" w:rsidRDefault="00C60545" w:rsidP="00C60545">
      <w:pPr>
        <w:pStyle w:val="Numberedtext"/>
        <w:jc w:val="both"/>
      </w:pPr>
      <w:r w:rsidRPr="00B95B3F">
        <w:t xml:space="preserve">AECOM recommends that the tenure mix of Affordable Housing secured in future years is weighted in favor of meeting </w:t>
      </w:r>
      <w:proofErr w:type="gramStart"/>
      <w:r w:rsidRPr="00B95B3F">
        <w:t>a majority of</w:t>
      </w:r>
      <w:proofErr w:type="gramEnd"/>
      <w:r w:rsidRPr="00B95B3F">
        <w:t xml:space="preserve"> the need for social/affordable rental homes. It can be assumed that the need identified for social/affordable rental is more acute, leaving households who require these types of homes with very few alternative housing choices. </w:t>
      </w:r>
    </w:p>
    <w:p w14:paraId="2F456C8C" w14:textId="77777777" w:rsidR="00C60545" w:rsidRDefault="00C60545" w:rsidP="00C60545">
      <w:pPr>
        <w:pStyle w:val="Numberedtext"/>
        <w:jc w:val="both"/>
      </w:pPr>
      <w:r w:rsidRPr="00B95B3F">
        <w:t xml:space="preserve">As such, this HNA would recommend a tenure split of </w:t>
      </w:r>
      <w:r>
        <w:t>7</w:t>
      </w:r>
      <w:r w:rsidRPr="00B95B3F">
        <w:t xml:space="preserve">5% social/affordable rental and </w:t>
      </w:r>
      <w:r>
        <w:t>2</w:t>
      </w:r>
      <w:r w:rsidRPr="00B95B3F">
        <w:t xml:space="preserve">5% affordable home ownership. This indicative tenure mix deviates from the adopted district wide policy but is a response to the modelling results alongside the unique characteristics of Consett. </w:t>
      </w:r>
    </w:p>
    <w:p w14:paraId="25F6FB2C" w14:textId="77777777" w:rsidR="00C60545" w:rsidRPr="008D77D6" w:rsidRDefault="00C60545" w:rsidP="00C60545">
      <w:pPr>
        <w:pStyle w:val="Numberedtext"/>
        <w:jc w:val="both"/>
        <w:rPr>
          <w:rStyle w:val="NumberedtextChar"/>
          <w:color w:val="auto"/>
        </w:rPr>
      </w:pPr>
      <w:r w:rsidRPr="00B95B3F">
        <w:t>There is no obligation to follow this recommendation or to depart from adopted Local Plan policy if that is more in line with the community’s objectives. Further discussion with County Durham Council about the options and their advice would be beneficial and could cover issues beyond the scope of this report, such as development viability.</w:t>
      </w:r>
      <w:r w:rsidRPr="00C60545">
        <w:rPr>
          <w:rStyle w:val="NumberedtextChar"/>
        </w:rPr>
        <w:t xml:space="preserve"> </w:t>
      </w:r>
    </w:p>
    <w:p w14:paraId="1561F68D" w14:textId="53F62BB1" w:rsidR="00C60545" w:rsidRPr="008D77D6" w:rsidRDefault="00C60545" w:rsidP="00C60545">
      <w:pPr>
        <w:pStyle w:val="Numberedtext"/>
        <w:jc w:val="both"/>
      </w:pPr>
      <w:r w:rsidRPr="008D77D6">
        <w:rPr>
          <w:rStyle w:val="NumberedtextChar"/>
          <w:color w:val="auto"/>
        </w:rPr>
        <w:t>Affordable housing is typically provided and made financially viable by its inclusion as a proportion of larger market developments, as guided by Local Plan policy. However, if the community wishes to boost the supply of affordable housing, there are other, more proactive routes available for its provision. For example, using neighbourhood development orders, identifying exception sites or developing community land trusts are all ways of boosting the supply of affordable housing</w:t>
      </w:r>
      <w:r w:rsidRPr="008D77D6">
        <w:t>.</w:t>
      </w:r>
    </w:p>
    <w:p w14:paraId="72844951" w14:textId="77777777" w:rsidR="00C60545" w:rsidRPr="00C60545" w:rsidRDefault="00C60545" w:rsidP="008D77D6">
      <w:pPr>
        <w:pStyle w:val="Numberedtext"/>
        <w:numPr>
          <w:ilvl w:val="0"/>
          <w:numId w:val="0"/>
        </w:numPr>
        <w:rPr>
          <w:highlight w:val="green"/>
        </w:rPr>
      </w:pPr>
    </w:p>
    <w:p w14:paraId="3423E8E3" w14:textId="3C0B1AAD" w:rsidR="00840AB7" w:rsidRPr="00764F1A" w:rsidRDefault="00840AB7" w:rsidP="003C41AA">
      <w:pPr>
        <w:pStyle w:val="Heading2"/>
        <w:jc w:val="both"/>
        <w:rPr>
          <w:color w:val="auto"/>
        </w:rPr>
      </w:pPr>
      <w:r w:rsidRPr="00764F1A">
        <w:rPr>
          <w:color w:val="auto"/>
        </w:rPr>
        <w:t>Conclusions – Type and Size</w:t>
      </w:r>
    </w:p>
    <w:p w14:paraId="49C84EF5" w14:textId="77777777" w:rsidR="00C60545" w:rsidRPr="003C03B9" w:rsidRDefault="00C60545" w:rsidP="00C60545">
      <w:pPr>
        <w:pStyle w:val="Heading4"/>
        <w:jc w:val="both"/>
        <w:rPr>
          <w:color w:val="auto"/>
        </w:rPr>
      </w:pPr>
      <w:r w:rsidRPr="003C03B9">
        <w:rPr>
          <w:color w:val="auto"/>
        </w:rPr>
        <w:t>The current housing mix</w:t>
      </w:r>
    </w:p>
    <w:p w14:paraId="2489E01A" w14:textId="77777777" w:rsidR="00C60545" w:rsidRPr="00635183" w:rsidRDefault="00C60545" w:rsidP="00C60545">
      <w:pPr>
        <w:pStyle w:val="Numberedtext"/>
        <w:jc w:val="both"/>
      </w:pPr>
      <w:r w:rsidRPr="00635183">
        <w:t>The c</w:t>
      </w:r>
      <w:r>
        <w:t>u</w:t>
      </w:r>
      <w:r w:rsidRPr="00635183">
        <w:t>rrent dwelling mix in Consett is dominated by semi-detached and terraced dwellings, which cumulatively make up three quarters of the overall housing stock. The remainder is made up of detached dwellings and a very small number of flats. The dwelling mix generally reflects the average across County Durham, other tha</w:t>
      </w:r>
      <w:r>
        <w:t>n</w:t>
      </w:r>
      <w:r w:rsidRPr="00635183">
        <w:t xml:space="preserve"> some minor proportional variation within each dwelling category. </w:t>
      </w:r>
    </w:p>
    <w:p w14:paraId="586709C7" w14:textId="77777777" w:rsidR="00C60545" w:rsidRPr="003C03B9" w:rsidRDefault="00C60545" w:rsidP="00C60545">
      <w:pPr>
        <w:pStyle w:val="Numberedtext"/>
        <w:jc w:val="both"/>
      </w:pPr>
      <w:r w:rsidRPr="00635183">
        <w:t>In terms of size, the profile of homes in Consett generally tracks th</w:t>
      </w:r>
      <w:r>
        <w:t>e size mix seen across</w:t>
      </w:r>
      <w:r w:rsidRPr="00635183">
        <w:t xml:space="preserve"> County Durham in proportional terms. Both areas are </w:t>
      </w:r>
      <w:proofErr w:type="spellStart"/>
      <w:r w:rsidRPr="00635183">
        <w:t>characterised</w:t>
      </w:r>
      <w:proofErr w:type="spellEnd"/>
      <w:r w:rsidRPr="00635183">
        <w:t xml:space="preserve"> by a higher proportion of 3-bedroom and 2-bedroom homes and a correspondingly fewer 4+ bedroom homes. Both Consett and County Durham have a small supply of 1- bedroom homes. </w:t>
      </w:r>
    </w:p>
    <w:p w14:paraId="03EF0A50" w14:textId="77777777" w:rsidR="00C60545" w:rsidRPr="003C03B9" w:rsidRDefault="00C60545" w:rsidP="00C60545">
      <w:pPr>
        <w:pStyle w:val="Heading4"/>
        <w:jc w:val="both"/>
        <w:rPr>
          <w:color w:val="auto"/>
        </w:rPr>
      </w:pPr>
      <w:r w:rsidRPr="003C03B9">
        <w:rPr>
          <w:color w:val="auto"/>
        </w:rPr>
        <w:lastRenderedPageBreak/>
        <w:t>Population characteristics</w:t>
      </w:r>
    </w:p>
    <w:p w14:paraId="046B4B93" w14:textId="77777777" w:rsidR="00C60545" w:rsidRPr="008606A7" w:rsidRDefault="00C60545" w:rsidP="00C60545">
      <w:pPr>
        <w:pStyle w:val="Numberedtext"/>
        <w:jc w:val="both"/>
      </w:pPr>
      <w:r>
        <w:t xml:space="preserve">The Consett population appears to have grown by 4% over the last decade. There is a distinction between the trajectories of the younger and older population in Consett, with </w:t>
      </w:r>
      <w:proofErr w:type="gramStart"/>
      <w:r>
        <w:t>the majority of</w:t>
      </w:r>
      <w:proofErr w:type="gramEnd"/>
      <w:r>
        <w:t xml:space="preserve"> </w:t>
      </w:r>
      <w:proofErr w:type="gramStart"/>
      <w:r>
        <w:t>population</w:t>
      </w:r>
      <w:proofErr w:type="gramEnd"/>
      <w:r>
        <w:t xml:space="preserve"> grown being experienced in the older age groups (notably those aged between 65-84). Correspondingly, there has been much slower growth in younger age groups. </w:t>
      </w:r>
    </w:p>
    <w:p w14:paraId="233EF5D6" w14:textId="77777777" w:rsidR="00C60545" w:rsidRPr="003C03B9" w:rsidRDefault="00C60545" w:rsidP="00C60545">
      <w:pPr>
        <w:pStyle w:val="Numberedtext"/>
        <w:jc w:val="both"/>
      </w:pPr>
      <w:r w:rsidRPr="008606A7">
        <w:t xml:space="preserve">Household projections suggest that </w:t>
      </w:r>
      <w:r>
        <w:t>Consett</w:t>
      </w:r>
      <w:r w:rsidRPr="008606A7">
        <w:t xml:space="preserve">’s population will continue to age over the NP period, with a potential 55% increase in the population aged 65 and over. The projections also suggest that the younger population cohorts in the NA will grow at a much slower rate.  It should be noted that these estimates are informed by population projections for the wider district and may be more moderate </w:t>
      </w:r>
      <w:proofErr w:type="gramStart"/>
      <w:r w:rsidRPr="008606A7">
        <w:t>in reality given</w:t>
      </w:r>
      <w:proofErr w:type="gramEnd"/>
      <w:r w:rsidRPr="008606A7">
        <w:t xml:space="preserve"> recent development in the NA and apparent in-migration of younger family households.</w:t>
      </w:r>
    </w:p>
    <w:p w14:paraId="4169C565" w14:textId="77777777" w:rsidR="00C60545" w:rsidRPr="003C03B9" w:rsidRDefault="00C60545" w:rsidP="00C60545">
      <w:pPr>
        <w:pStyle w:val="Heading4"/>
        <w:jc w:val="both"/>
        <w:rPr>
          <w:color w:val="auto"/>
        </w:rPr>
      </w:pPr>
      <w:r w:rsidRPr="003C03B9">
        <w:rPr>
          <w:color w:val="auto"/>
        </w:rPr>
        <w:t>Future population and size needs</w:t>
      </w:r>
    </w:p>
    <w:p w14:paraId="11C68571" w14:textId="77777777" w:rsidR="00C60545" w:rsidRPr="001B6D4F" w:rsidRDefault="00C60545" w:rsidP="00C60545">
      <w:pPr>
        <w:pStyle w:val="Numberedtext"/>
        <w:jc w:val="both"/>
      </w:pPr>
      <w:r w:rsidRPr="001B6D4F">
        <w:t xml:space="preserve">It is possible to estimate the size mix of future homes that might best accommodate demographic trends and address imbalances in the existing housing stock. The result of this process suggests that new development should deliver a variety of dwelling </w:t>
      </w:r>
      <w:proofErr w:type="gramStart"/>
      <w:r w:rsidRPr="001B6D4F">
        <w:t>sizes</w:t>
      </w:r>
      <w:r>
        <w:t>, but</w:t>
      </w:r>
      <w:proofErr w:type="gramEnd"/>
      <w:r>
        <w:t xml:space="preserve"> focus on homes with between 1 and 2 bedrooms</w:t>
      </w:r>
      <w:r w:rsidRPr="001B6D4F">
        <w:t>.</w:t>
      </w:r>
    </w:p>
    <w:p w14:paraId="07F9FA0D" w14:textId="77777777" w:rsidR="00C60545" w:rsidRPr="001B6D4F" w:rsidRDefault="00C60545" w:rsidP="00C60545">
      <w:pPr>
        <w:pStyle w:val="Numberedtext"/>
        <w:jc w:val="both"/>
      </w:pPr>
      <w:r w:rsidRPr="001B6D4F">
        <w:t xml:space="preserve">For </w:t>
      </w:r>
      <w:r>
        <w:t>Consett</w:t>
      </w:r>
      <w:r w:rsidRPr="001B6D4F">
        <w:t xml:space="preserve">, the model recommends future housing delivery should deliver a range of dwelling sizes, by with a focus on 1- or 2-bedroom homes (75%), which is slightly higher than the recommendation in the County Durham SHMA. </w:t>
      </w:r>
    </w:p>
    <w:p w14:paraId="6E13FCE9" w14:textId="77777777" w:rsidR="008D77D6" w:rsidRPr="008D77D6" w:rsidRDefault="00C60545" w:rsidP="008D77D6">
      <w:pPr>
        <w:pStyle w:val="Numberedtext"/>
        <w:jc w:val="both"/>
      </w:pPr>
      <w:r w:rsidRPr="008D77D6">
        <w:t>However, if the Consett Neighbourhood Plan Forum are seeking to improve affordability in the NA there may be justification to provide more smaller and modest sized homes (1 and 2 bed homes) to improve downsizing opportunities and modest sized homes for younger people. This does not ensure new homes will be affordable to these households and may still present the affordability barriers explained in the previous section. Nonetheless, provision of some smaller properties means they are likely to be relatively more affordable compared to much larger properties.</w:t>
      </w:r>
    </w:p>
    <w:p w14:paraId="2D805F6D" w14:textId="79E00246" w:rsidR="00C60545" w:rsidRPr="00C60545" w:rsidRDefault="00C60545" w:rsidP="008D77D6">
      <w:pPr>
        <w:pStyle w:val="Numberedtext"/>
        <w:jc w:val="both"/>
      </w:pPr>
      <w:r w:rsidRPr="008D77D6">
        <w:t xml:space="preserve">It is important to remember that other factors should be considered in determining the dwelling mix that is desirable in the NA or on any </w:t>
      </w:r>
      <w:proofErr w:type="gramStart"/>
      <w:r w:rsidRPr="008D77D6">
        <w:t>particular site</w:t>
      </w:r>
      <w:proofErr w:type="gramEnd"/>
      <w:r w:rsidRPr="008D77D6">
        <w:t>. These include the specific characteristics of the nearby stock of housing (such as its condition and design), the role of the NA or site within the wider housing market area (linked to any Local Authority strategies or plans) and site-specific factors.</w:t>
      </w:r>
    </w:p>
    <w:p w14:paraId="7BE1F96F" w14:textId="77777777" w:rsidR="00C60545" w:rsidRPr="00C60545" w:rsidRDefault="00C60545" w:rsidP="008D77D6">
      <w:pPr>
        <w:pStyle w:val="Numberedtext"/>
        <w:numPr>
          <w:ilvl w:val="0"/>
          <w:numId w:val="0"/>
        </w:numPr>
        <w:jc w:val="both"/>
      </w:pPr>
    </w:p>
    <w:p w14:paraId="022FB1BC" w14:textId="58A9A5A1" w:rsidR="00C60545" w:rsidRPr="008D77D6" w:rsidRDefault="00C60545" w:rsidP="008D77D6">
      <w:pPr>
        <w:pStyle w:val="Heading2"/>
        <w:rPr>
          <w:rFonts w:ascii="Arial" w:eastAsia="Arial" w:hAnsi="Arial" w:cs="Times New Roman"/>
        </w:rPr>
      </w:pPr>
      <w:r w:rsidRPr="00C60545">
        <w:t>Conclusions</w:t>
      </w:r>
      <w:r>
        <w:t xml:space="preserve"> </w:t>
      </w:r>
      <w:r w:rsidRPr="00C60545">
        <w:t>–</w:t>
      </w:r>
      <w:r w:rsidR="00840AB7" w:rsidRPr="00C60545">
        <w:t xml:space="preserve"> Specialist Housing for Older People</w:t>
      </w:r>
    </w:p>
    <w:p w14:paraId="12E89570" w14:textId="02368F9A" w:rsidR="00C60545" w:rsidRPr="00AF7BF4" w:rsidRDefault="00C60545" w:rsidP="00C60545">
      <w:pPr>
        <w:tabs>
          <w:tab w:val="clear" w:pos="284"/>
        </w:tabs>
        <w:spacing w:after="120"/>
        <w:rPr>
          <w:rFonts w:ascii="Arial" w:eastAsia="Arial" w:hAnsi="Arial" w:cs="Times New Roman"/>
          <w:b/>
          <w:bCs/>
        </w:rPr>
      </w:pPr>
      <w:r w:rsidRPr="00A42FC0">
        <w:rPr>
          <w:rFonts w:ascii="Arial" w:eastAsia="Arial" w:hAnsi="Arial" w:cs="Times New Roman"/>
          <w:b/>
          <w:bCs/>
        </w:rPr>
        <w:t>Characteristics of the current older population</w:t>
      </w:r>
    </w:p>
    <w:p w14:paraId="7FB9948B" w14:textId="77777777" w:rsidR="00C60545" w:rsidRPr="003D2B7B" w:rsidRDefault="00C60545" w:rsidP="00C60545">
      <w:pPr>
        <w:pStyle w:val="Numberedtext"/>
        <w:jc w:val="both"/>
      </w:pPr>
      <w:r w:rsidRPr="003D2B7B">
        <w:t xml:space="preserve">There are currently estimated to be around 3,543 individuals aged 75 or over in Consett, a number that has grown from 3,067 in 2011 and is projected to rise to 5,560 by the end of the Neighbourhood Plan period (2041). </w:t>
      </w:r>
    </w:p>
    <w:p w14:paraId="0D8494CE" w14:textId="77777777" w:rsidR="00C60545" w:rsidRPr="003D2B7B" w:rsidRDefault="00C60545" w:rsidP="00C60545">
      <w:pPr>
        <w:pStyle w:val="Numberedtext"/>
        <w:jc w:val="both"/>
      </w:pPr>
      <w:r w:rsidRPr="003D2B7B">
        <w:lastRenderedPageBreak/>
        <w:t xml:space="preserve">A clear majority (73%) of County Durham’s households aged between 55 – 75 in 2011 (and therefore likely to reach the 75+ bracket by 2040) are owner occupiers and the remainder predominantly rent from a social landlord. This is important because those currently owning will require specialist accommodation for market purchase, being largely ineligible for subsidised housing, while those in private or social rent may need subsidised rented housing because they are unlikely to have the funds to buy. </w:t>
      </w:r>
    </w:p>
    <w:p w14:paraId="324D6380" w14:textId="77777777" w:rsidR="00C60545" w:rsidRPr="00AF7BF4" w:rsidRDefault="00C60545" w:rsidP="00C60545">
      <w:pPr>
        <w:pStyle w:val="Numberedtext"/>
        <w:numPr>
          <w:ilvl w:val="0"/>
          <w:numId w:val="0"/>
        </w:numPr>
        <w:jc w:val="both"/>
        <w:rPr>
          <w:b/>
          <w:bCs/>
        </w:rPr>
      </w:pPr>
      <w:r w:rsidRPr="00633EC1">
        <w:rPr>
          <w:b/>
          <w:bCs/>
        </w:rPr>
        <w:t>Projected demographic change and need for specialist housing</w:t>
      </w:r>
    </w:p>
    <w:p w14:paraId="5DEEF5F9" w14:textId="77777777" w:rsidR="00C60545" w:rsidRPr="003737A8" w:rsidRDefault="00C60545" w:rsidP="00C60545">
      <w:pPr>
        <w:pStyle w:val="Numberedtext"/>
        <w:jc w:val="both"/>
      </w:pPr>
      <w:r w:rsidRPr="003737A8">
        <w:t xml:space="preserve">The 75+ population of the NA is projected to increase from 9% to 14% of the overall population between 2024 and 2040. The growth in the older population should be converted into households because some older people will be cohabiting in old age. The projected growth in the older population points to 1,505 new households made up of persons aged 75+ over the Neighbourhood Plan period. </w:t>
      </w:r>
    </w:p>
    <w:p w14:paraId="335F2E72" w14:textId="77777777" w:rsidR="00C60545" w:rsidRPr="003737A8" w:rsidRDefault="00C60545" w:rsidP="00C60545">
      <w:pPr>
        <w:pStyle w:val="Numberedtext"/>
        <w:jc w:val="both"/>
      </w:pPr>
      <w:r w:rsidRPr="003737A8">
        <w:t>The potential need for specialist housing with some form of additional care for older people can be estimated by bringing together data on population projections, rates of disability, and what tenure of housing the current 55-75 cohort occupy in the NA. This can be sense-checked using a toolkit based on national research.</w:t>
      </w:r>
    </w:p>
    <w:p w14:paraId="65858ED9" w14:textId="77777777" w:rsidR="00C60545" w:rsidRPr="00633EC1" w:rsidRDefault="00C60545" w:rsidP="00C60545">
      <w:pPr>
        <w:pStyle w:val="Numberedtext"/>
        <w:jc w:val="both"/>
      </w:pPr>
      <w:r w:rsidRPr="00633EC1">
        <w:t xml:space="preserve">The two methods for estimating the future need in </w:t>
      </w:r>
      <w:r>
        <w:t xml:space="preserve">Consett </w:t>
      </w:r>
      <w:r w:rsidRPr="00633EC1">
        <w:t>produce</w:t>
      </w:r>
      <w:r>
        <w:t>s</w:t>
      </w:r>
      <w:r w:rsidRPr="00633EC1">
        <w:t xml:space="preserve"> a range of </w:t>
      </w:r>
      <w:r>
        <w:t>506</w:t>
      </w:r>
      <w:r w:rsidRPr="00633EC1">
        <w:t xml:space="preserve"> to </w:t>
      </w:r>
      <w:r>
        <w:t xml:space="preserve">918 </w:t>
      </w:r>
      <w:r w:rsidRPr="00633EC1">
        <w:t xml:space="preserve">specialist accommodation units that might be required during the plan period. These estimates are based on the projected growth of the older population, thereby assuming that today’s older households are already well accommodated. </w:t>
      </w:r>
    </w:p>
    <w:p w14:paraId="4FC606F4" w14:textId="77777777" w:rsidR="00C60545" w:rsidRPr="00633EC1" w:rsidRDefault="00C60545" w:rsidP="00C60545">
      <w:pPr>
        <w:pStyle w:val="Numberedtext"/>
        <w:jc w:val="both"/>
      </w:pPr>
      <w:r w:rsidRPr="00633EC1">
        <w:t xml:space="preserve">Broadly, between </w:t>
      </w:r>
      <w:r>
        <w:t>50-60</w:t>
      </w:r>
      <w:r w:rsidRPr="00633EC1">
        <w:t xml:space="preserve">% of the need </w:t>
      </w:r>
      <w:r>
        <w:t>is likely to</w:t>
      </w:r>
      <w:r w:rsidRPr="00633EC1">
        <w:t xml:space="preserve"> be </w:t>
      </w:r>
      <w:r>
        <w:t>for</w:t>
      </w:r>
      <w:r w:rsidRPr="00633EC1">
        <w:t xml:space="preserve"> market purchase. Moreover, between 5</w:t>
      </w:r>
      <w:r>
        <w:t>0</w:t>
      </w:r>
      <w:r w:rsidRPr="00633EC1">
        <w:t>-</w:t>
      </w:r>
      <w:r>
        <w:t>70</w:t>
      </w:r>
      <w:r w:rsidRPr="00633EC1">
        <w:t xml:space="preserve">% of the need can be accommodated through either sheltered accommodation or adaptations to the existing housing stock, rather than new extra care options. The potential need for care and nursing home beds in </w:t>
      </w:r>
      <w:r>
        <w:t>Consett</w:t>
      </w:r>
      <w:r w:rsidRPr="00633EC1">
        <w:t xml:space="preserve"> by 20</w:t>
      </w:r>
      <w:r>
        <w:t>40</w:t>
      </w:r>
      <w:r w:rsidRPr="00633EC1">
        <w:t xml:space="preserve"> can be estimated at roughly </w:t>
      </w:r>
      <w:r>
        <w:t>212</w:t>
      </w:r>
      <w:r w:rsidRPr="00633EC1">
        <w:t xml:space="preserve">. </w:t>
      </w:r>
    </w:p>
    <w:p w14:paraId="7B059C99" w14:textId="77777777" w:rsidR="00C60545" w:rsidRPr="00764F1A" w:rsidRDefault="00C60545" w:rsidP="00C60545">
      <w:pPr>
        <w:pStyle w:val="Numberedtext"/>
        <w:jc w:val="both"/>
      </w:pPr>
      <w:r w:rsidRPr="00633EC1">
        <w:t xml:space="preserve">The main unmet need in </w:t>
      </w:r>
      <w:r>
        <w:t>Consett</w:t>
      </w:r>
      <w:r w:rsidRPr="00633EC1">
        <w:t xml:space="preserve"> is for market sheltered accommodation</w:t>
      </w:r>
      <w:r>
        <w:t xml:space="preserve"> (or accommodation which would deliver similar attributes) and in some cases this need </w:t>
      </w:r>
      <w:r w:rsidRPr="00633EC1">
        <w:t xml:space="preserve">may be satisfied by new housing </w:t>
      </w:r>
      <w:r>
        <w:t xml:space="preserve">that </w:t>
      </w:r>
      <w:r w:rsidRPr="00633EC1">
        <w:t xml:space="preserve">is accessible and adaptable for people with lower support needs. It is unknown whether </w:t>
      </w:r>
      <w:r>
        <w:t>Consett</w:t>
      </w:r>
      <w:r w:rsidRPr="00633EC1">
        <w:t xml:space="preserve"> is expecting any delivery of specialist accommodation over the plan period. However,</w:t>
      </w:r>
      <w:r>
        <w:t xml:space="preserve"> if the number of dwellings allocated to the NA through the Local Plan are developed in full, and</w:t>
      </w:r>
      <w:r w:rsidRPr="00633EC1">
        <w:t xml:space="preserve"> </w:t>
      </w:r>
      <w:r>
        <w:t xml:space="preserve">the provision of specialist accommodation is included it would meaningfully contribute to the need identified in this HNA. </w:t>
      </w:r>
    </w:p>
    <w:p w14:paraId="4E65A8BE" w14:textId="422AE610" w:rsidR="008129C3" w:rsidRPr="00764F1A" w:rsidRDefault="008129C3" w:rsidP="00252C91">
      <w:pPr>
        <w:jc w:val="both"/>
        <w:rPr>
          <w:lang w:val="en-US"/>
        </w:rPr>
      </w:pPr>
    </w:p>
    <w:p w14:paraId="02C8C603" w14:textId="758CA3C4" w:rsidR="008129C3" w:rsidRPr="00764F1A" w:rsidRDefault="008129C3" w:rsidP="00252C91">
      <w:pPr>
        <w:jc w:val="both"/>
        <w:rPr>
          <w:lang w:val="en-US"/>
        </w:rPr>
      </w:pPr>
    </w:p>
    <w:p w14:paraId="62B28F75" w14:textId="06A79EDF" w:rsidR="008129C3" w:rsidRPr="00764F1A" w:rsidRDefault="008129C3" w:rsidP="00252C91">
      <w:pPr>
        <w:jc w:val="both"/>
        <w:rPr>
          <w:lang w:val="en-US"/>
        </w:rPr>
      </w:pPr>
    </w:p>
    <w:p w14:paraId="67869066" w14:textId="23EC71E5" w:rsidR="008129C3" w:rsidRPr="00764F1A" w:rsidRDefault="008129C3" w:rsidP="00252C91">
      <w:pPr>
        <w:jc w:val="both"/>
        <w:rPr>
          <w:lang w:val="en-US"/>
        </w:rPr>
      </w:pPr>
    </w:p>
    <w:p w14:paraId="40DA3359" w14:textId="0053CC2D" w:rsidR="008129C3" w:rsidRPr="00764F1A" w:rsidRDefault="008129C3" w:rsidP="00252C91">
      <w:pPr>
        <w:jc w:val="both"/>
        <w:rPr>
          <w:lang w:val="en-US"/>
        </w:rPr>
      </w:pPr>
    </w:p>
    <w:p w14:paraId="74B0497D" w14:textId="2DD6603B" w:rsidR="008129C3" w:rsidRPr="00764F1A" w:rsidRDefault="008129C3" w:rsidP="00252C91">
      <w:pPr>
        <w:jc w:val="both"/>
        <w:rPr>
          <w:lang w:val="en-US"/>
        </w:rPr>
      </w:pPr>
    </w:p>
    <w:p w14:paraId="080A8F6B" w14:textId="77777777" w:rsidR="00E83FD2" w:rsidRPr="00764F1A" w:rsidRDefault="00E83FD2" w:rsidP="00252C91">
      <w:pPr>
        <w:tabs>
          <w:tab w:val="clear" w:pos="284"/>
        </w:tabs>
        <w:spacing w:line="240" w:lineRule="auto"/>
        <w:jc w:val="both"/>
        <w:rPr>
          <w:rFonts w:asciiTheme="majorHAnsi" w:eastAsiaTheme="majorEastAsia" w:hAnsiTheme="majorHAnsi" w:cstheme="majorBidi"/>
          <w:b/>
          <w:bCs/>
          <w:sz w:val="48"/>
          <w:szCs w:val="28"/>
          <w:lang w:val="en-US"/>
        </w:rPr>
        <w:sectPr w:rsidR="00E83FD2" w:rsidRPr="00764F1A" w:rsidSect="00E83FD2">
          <w:headerReference w:type="default" r:id="rId24"/>
          <w:footerReference w:type="default" r:id="rId25"/>
          <w:pgSz w:w="11907" w:h="16839" w:code="9"/>
          <w:pgMar w:top="1440" w:right="1080" w:bottom="1080" w:left="993" w:header="432" w:footer="432" w:gutter="0"/>
          <w:pgNumType w:fmt="lowerRoman"/>
          <w:cols w:space="720"/>
          <w:docGrid w:linePitch="360"/>
        </w:sectPr>
      </w:pPr>
      <w:bookmarkStart w:id="39" w:name="_Toc31722617"/>
      <w:bookmarkStart w:id="40" w:name="_Toc102731825"/>
    </w:p>
    <w:p w14:paraId="66DEA146" w14:textId="7EA269FD" w:rsidR="008129C3" w:rsidRPr="00764F1A" w:rsidRDefault="008129C3" w:rsidP="00252C91">
      <w:pPr>
        <w:pStyle w:val="Heading1"/>
        <w:jc w:val="both"/>
        <w:rPr>
          <w:color w:val="auto"/>
        </w:rPr>
      </w:pPr>
      <w:bookmarkStart w:id="41" w:name="_Toc170398384"/>
      <w:bookmarkStart w:id="42" w:name="_Toc185339910"/>
      <w:r w:rsidRPr="00764F1A">
        <w:rPr>
          <w:color w:val="auto"/>
        </w:rPr>
        <w:lastRenderedPageBreak/>
        <w:t>Context</w:t>
      </w:r>
      <w:bookmarkStart w:id="43" w:name="_Toc425332010"/>
      <w:bookmarkStart w:id="44" w:name="_Toc461696212"/>
      <w:bookmarkEnd w:id="39"/>
      <w:bookmarkEnd w:id="40"/>
      <w:bookmarkEnd w:id="41"/>
      <w:bookmarkEnd w:id="42"/>
    </w:p>
    <w:p w14:paraId="05DDFA30" w14:textId="77777777" w:rsidR="008129C3" w:rsidRPr="00311641" w:rsidRDefault="008129C3" w:rsidP="00252C91">
      <w:pPr>
        <w:pStyle w:val="Heading2"/>
        <w:jc w:val="both"/>
        <w:rPr>
          <w:color w:val="auto"/>
        </w:rPr>
      </w:pPr>
      <w:bookmarkStart w:id="45" w:name="_Toc31722618"/>
      <w:bookmarkStart w:id="46" w:name="_Toc102731826"/>
      <w:r w:rsidRPr="00311641">
        <w:rPr>
          <w:color w:val="auto"/>
        </w:rPr>
        <w:t>Local context</w:t>
      </w:r>
      <w:bookmarkEnd w:id="45"/>
      <w:bookmarkEnd w:id="46"/>
    </w:p>
    <w:p w14:paraId="5276E437" w14:textId="7776F7ED" w:rsidR="00D11A82" w:rsidRPr="00311641" w:rsidRDefault="00D143F2" w:rsidP="00252C91">
      <w:pPr>
        <w:pStyle w:val="Numberedtext"/>
        <w:jc w:val="both"/>
      </w:pPr>
      <w:bookmarkStart w:id="47" w:name="_Copy"/>
      <w:r w:rsidRPr="00311641">
        <w:t>Consett</w:t>
      </w:r>
      <w:r w:rsidR="008129C3" w:rsidRPr="00311641">
        <w:t xml:space="preserve"> is a Neighbourhood </w:t>
      </w:r>
      <w:r w:rsidR="00371520" w:rsidRPr="00311641">
        <w:t>A</w:t>
      </w:r>
      <w:r w:rsidR="008129C3" w:rsidRPr="00311641">
        <w:t xml:space="preserve">rea </w:t>
      </w:r>
      <w:r w:rsidR="00A160AB" w:rsidRPr="00311641">
        <w:t xml:space="preserve">(NA) </w:t>
      </w:r>
      <w:r w:rsidR="008129C3" w:rsidRPr="00311641">
        <w:t>located in</w:t>
      </w:r>
      <w:r w:rsidR="00A160AB" w:rsidRPr="00311641">
        <w:t xml:space="preserve"> the </w:t>
      </w:r>
      <w:r w:rsidR="00DB35CC" w:rsidRPr="00311641">
        <w:t>county</w:t>
      </w:r>
      <w:r w:rsidR="00A160AB" w:rsidRPr="00311641">
        <w:t xml:space="preserve"> of</w:t>
      </w:r>
      <w:r w:rsidR="008129C3" w:rsidRPr="00311641">
        <w:t xml:space="preserve"> </w:t>
      </w:r>
      <w:r w:rsidR="00DC6F3A" w:rsidRPr="00311641">
        <w:t>Durham</w:t>
      </w:r>
      <w:r w:rsidR="00422E8C" w:rsidRPr="00311641">
        <w:t xml:space="preserve"> </w:t>
      </w:r>
      <w:r w:rsidR="000D5090" w:rsidRPr="00311641">
        <w:t>in</w:t>
      </w:r>
      <w:r w:rsidR="0073649D" w:rsidRPr="00311641">
        <w:t xml:space="preserve"> </w:t>
      </w:r>
      <w:r w:rsidR="00A54F40">
        <w:t xml:space="preserve">the </w:t>
      </w:r>
      <w:proofErr w:type="gramStart"/>
      <w:r w:rsidR="0073649D" w:rsidRPr="00311641">
        <w:t>north</w:t>
      </w:r>
      <w:r w:rsidR="00A54F40">
        <w:t xml:space="preserve"> </w:t>
      </w:r>
      <w:r w:rsidR="0073649D" w:rsidRPr="00311641">
        <w:t>east</w:t>
      </w:r>
      <w:proofErr w:type="gramEnd"/>
      <w:r w:rsidR="0073649D" w:rsidRPr="00311641">
        <w:t xml:space="preserve"> of England. </w:t>
      </w:r>
      <w:r w:rsidR="008129C3" w:rsidRPr="00311641">
        <w:t xml:space="preserve">The NA boundary </w:t>
      </w:r>
      <w:r w:rsidR="0073649D" w:rsidRPr="00311641">
        <w:t>is</w:t>
      </w:r>
      <w:r w:rsidR="007147F4">
        <w:t xml:space="preserve"> made up of</w:t>
      </w:r>
      <w:r w:rsidR="0073649D" w:rsidRPr="00311641">
        <w:t xml:space="preserve"> a</w:t>
      </w:r>
      <w:r w:rsidR="005B02C7">
        <w:t xml:space="preserve"> previously</w:t>
      </w:r>
      <w:r w:rsidR="0073649D" w:rsidRPr="00311641">
        <w:t xml:space="preserve"> </w:t>
      </w:r>
      <w:proofErr w:type="spellStart"/>
      <w:r w:rsidR="0073649D" w:rsidRPr="00311641">
        <w:t>unparished</w:t>
      </w:r>
      <w:proofErr w:type="spellEnd"/>
      <w:r w:rsidR="0073649D" w:rsidRPr="00311641">
        <w:t xml:space="preserve"> area</w:t>
      </w:r>
      <w:r w:rsidR="007147F4">
        <w:t xml:space="preserve">. </w:t>
      </w:r>
      <w:r w:rsidR="00AD5B55">
        <w:t>To assist with the Consett Neighbour</w:t>
      </w:r>
      <w:r w:rsidR="00F22D1D">
        <w:t>hood plan</w:t>
      </w:r>
      <w:r w:rsidR="0073649D" w:rsidRPr="00311641">
        <w:t xml:space="preserve"> </w:t>
      </w:r>
      <w:r w:rsidR="00A57074" w:rsidRPr="00311641">
        <w:t>a bespoke boundary</w:t>
      </w:r>
      <w:r w:rsidR="00F22D1D">
        <w:t xml:space="preserve"> was</w:t>
      </w:r>
      <w:r w:rsidR="00A57074" w:rsidRPr="00311641">
        <w:t xml:space="preserve"> </w:t>
      </w:r>
      <w:r w:rsidR="00F22D1D">
        <w:t>designated in 2023</w:t>
      </w:r>
      <w:r w:rsidR="00C6458C" w:rsidRPr="00311641">
        <w:t xml:space="preserve"> to</w:t>
      </w:r>
      <w:r w:rsidR="005B02C7">
        <w:t xml:space="preserve"> cover Consett</w:t>
      </w:r>
      <w:r w:rsidR="00C6458C" w:rsidRPr="00311641">
        <w:t xml:space="preserve"> </w:t>
      </w:r>
      <w:r w:rsidR="00503E32">
        <w:t>Town and surrounding areas</w:t>
      </w:r>
      <w:r w:rsidR="00F22D1D">
        <w:t>.</w:t>
      </w:r>
      <w:r w:rsidR="00F2263E" w:rsidRPr="00311641">
        <w:t xml:space="preserve"> </w:t>
      </w:r>
    </w:p>
    <w:p w14:paraId="22093FCC" w14:textId="2CE876B1" w:rsidR="00D11A82" w:rsidRDefault="008129C3" w:rsidP="00252C91">
      <w:pPr>
        <w:pStyle w:val="Numberedtext"/>
        <w:jc w:val="both"/>
      </w:pPr>
      <w:r w:rsidRPr="00764F1A">
        <w:t xml:space="preserve">The Neighbourhood Plan </w:t>
      </w:r>
      <w:r w:rsidR="000D5090" w:rsidRPr="00764F1A">
        <w:t>is envisaged to</w:t>
      </w:r>
      <w:r w:rsidRPr="00764F1A">
        <w:t xml:space="preserve"> start in </w:t>
      </w:r>
      <w:r w:rsidR="00CA4094">
        <w:t>2024</w:t>
      </w:r>
      <w:r w:rsidRPr="00764F1A">
        <w:t xml:space="preserve"> and extend to </w:t>
      </w:r>
      <w:r w:rsidR="00CA4094">
        <w:t>2040</w:t>
      </w:r>
      <w:r w:rsidRPr="00764F1A">
        <w:t xml:space="preserve">, therefore </w:t>
      </w:r>
      <w:r w:rsidR="000D5090" w:rsidRPr="00764F1A">
        <w:t>covering a</w:t>
      </w:r>
      <w:r w:rsidRPr="00764F1A">
        <w:t xml:space="preserve"> period of </w:t>
      </w:r>
      <w:r w:rsidR="00C6458C">
        <w:t xml:space="preserve">16 </w:t>
      </w:r>
      <w:r w:rsidRPr="00764F1A">
        <w:t xml:space="preserve">years. The evidence supplied in this report will look forward to the Plan end date of </w:t>
      </w:r>
      <w:r w:rsidR="00C6458C">
        <w:t>2040</w:t>
      </w:r>
      <w:r w:rsidRPr="00764F1A">
        <w:t xml:space="preserve">, but where possible will also provide </w:t>
      </w:r>
      <w:proofErr w:type="spellStart"/>
      <w:r w:rsidRPr="00764F1A">
        <w:t>annualised</w:t>
      </w:r>
      <w:proofErr w:type="spellEnd"/>
      <w:r w:rsidRPr="00764F1A">
        <w:t xml:space="preserve"> figures which can be extrapolated to a different term if the </w:t>
      </w:r>
      <w:r w:rsidR="0096304E" w:rsidRPr="00764F1A">
        <w:t xml:space="preserve">Neighbourhood </w:t>
      </w:r>
      <w:r w:rsidRPr="00764F1A">
        <w:t>Plan period changes</w:t>
      </w:r>
      <w:r w:rsidR="004E0C8D" w:rsidRPr="00764F1A">
        <w:t>.</w:t>
      </w:r>
    </w:p>
    <w:p w14:paraId="5CAA5A7A" w14:textId="2D483C34" w:rsidR="00170CAD" w:rsidRDefault="00B745D0" w:rsidP="00252C91">
      <w:pPr>
        <w:pStyle w:val="Numberedtext"/>
        <w:jc w:val="both"/>
      </w:pPr>
      <w:r>
        <w:t xml:space="preserve">Consett is a town </w:t>
      </w:r>
      <w:r w:rsidR="00AA28B3">
        <w:t xml:space="preserve">situated </w:t>
      </w:r>
      <w:r w:rsidR="0049083F">
        <w:t xml:space="preserve">on the northern boundary of County Durham. </w:t>
      </w:r>
      <w:r w:rsidR="00855274">
        <w:t>The town is set approximately 13 miles</w:t>
      </w:r>
      <w:r w:rsidR="00CD7C6B">
        <w:t xml:space="preserve"> northwest of</w:t>
      </w:r>
      <w:r w:rsidR="00855274">
        <w:t xml:space="preserve"> </w:t>
      </w:r>
      <w:r w:rsidR="00CD7C6B">
        <w:t xml:space="preserve">Durham, and approximately 16 miles southwest of Newcastle. </w:t>
      </w:r>
      <w:r w:rsidR="00E8220D">
        <w:t xml:space="preserve">The town is accessed by </w:t>
      </w:r>
      <w:r w:rsidR="00952093">
        <w:t xml:space="preserve">the A692 which runs through the NA, </w:t>
      </w:r>
      <w:r w:rsidR="004D24CD">
        <w:t xml:space="preserve">it </w:t>
      </w:r>
      <w:r w:rsidR="000970D0">
        <w:t xml:space="preserve">has a southwesterly </w:t>
      </w:r>
      <w:r w:rsidR="00952093">
        <w:t>connect</w:t>
      </w:r>
      <w:r w:rsidR="00870C76">
        <w:t>ion</w:t>
      </w:r>
      <w:r w:rsidR="00952093">
        <w:t xml:space="preserve"> to the A68 </w:t>
      </w:r>
      <w:r w:rsidR="006B38B1">
        <w:t xml:space="preserve">and an onward connection to the A1(M) </w:t>
      </w:r>
      <w:r w:rsidR="00870C76">
        <w:t>at the eastern boundary</w:t>
      </w:r>
      <w:r w:rsidR="00444485">
        <w:t xml:space="preserve"> of the town. </w:t>
      </w:r>
      <w:r w:rsidR="00D064C3">
        <w:t xml:space="preserve">The nearest train station to Consett is </w:t>
      </w:r>
      <w:proofErr w:type="spellStart"/>
      <w:r w:rsidR="00B96F9F">
        <w:t>Stocksfield</w:t>
      </w:r>
      <w:proofErr w:type="spellEnd"/>
      <w:r w:rsidR="00B96F9F">
        <w:t xml:space="preserve"> to the </w:t>
      </w:r>
      <w:r w:rsidR="004D24CD">
        <w:t>n</w:t>
      </w:r>
      <w:r w:rsidR="00B96F9F">
        <w:t xml:space="preserve">orth of the NA, but residents may also use the train station in Durham. </w:t>
      </w:r>
    </w:p>
    <w:p w14:paraId="567E0673" w14:textId="0F6AF05D" w:rsidR="0048181B" w:rsidRPr="00764F1A" w:rsidRDefault="0048181B" w:rsidP="00252C91">
      <w:pPr>
        <w:pStyle w:val="Numberedtext"/>
        <w:jc w:val="both"/>
      </w:pPr>
      <w:r>
        <w:t xml:space="preserve">Consett has a range of services and amenities including </w:t>
      </w:r>
      <w:r w:rsidR="00CA0C23">
        <w:t xml:space="preserve">schools, </w:t>
      </w:r>
      <w:r w:rsidR="00A6733B">
        <w:t xml:space="preserve">shops, restaurants, and hotels. The town also has a hospital and a leisure </w:t>
      </w:r>
      <w:proofErr w:type="spellStart"/>
      <w:r w:rsidR="00A6733B">
        <w:t>centre</w:t>
      </w:r>
      <w:proofErr w:type="spellEnd"/>
      <w:r w:rsidR="00A6733B">
        <w:t xml:space="preserve">, and likely </w:t>
      </w:r>
      <w:r w:rsidR="00192883">
        <w:t xml:space="preserve">serves as a main service </w:t>
      </w:r>
      <w:proofErr w:type="spellStart"/>
      <w:r w:rsidR="00192883">
        <w:t>centre</w:t>
      </w:r>
      <w:proofErr w:type="spellEnd"/>
      <w:r w:rsidR="00192883">
        <w:t xml:space="preserve"> for smaller settlements nearby. </w:t>
      </w:r>
    </w:p>
    <w:p w14:paraId="535266E0" w14:textId="6CA62670" w:rsidR="00042A1A" w:rsidRPr="00764F1A" w:rsidRDefault="00042A1A" w:rsidP="00252C91">
      <w:pPr>
        <w:pStyle w:val="Heading2"/>
        <w:jc w:val="both"/>
        <w:rPr>
          <w:color w:val="auto"/>
        </w:rPr>
      </w:pPr>
      <w:r w:rsidRPr="00764F1A">
        <w:rPr>
          <w:color w:val="auto"/>
        </w:rPr>
        <w:t xml:space="preserve">The NA boundary and </w:t>
      </w:r>
      <w:r w:rsidR="00F30E4D" w:rsidRPr="00764F1A">
        <w:rPr>
          <w:color w:val="auto"/>
        </w:rPr>
        <w:t>key</w:t>
      </w:r>
      <w:r w:rsidRPr="00764F1A">
        <w:rPr>
          <w:color w:val="auto"/>
        </w:rPr>
        <w:t xml:space="preserve"> statistics</w:t>
      </w:r>
    </w:p>
    <w:p w14:paraId="317AE107" w14:textId="6D9E5EDE" w:rsidR="00E755AB" w:rsidRPr="00E755AB" w:rsidRDefault="008129C3" w:rsidP="00434C10">
      <w:pPr>
        <w:pStyle w:val="Numberedtext"/>
        <w:jc w:val="both"/>
      </w:pPr>
      <w:r w:rsidRPr="00764F1A">
        <w:t xml:space="preserve">For Census purposes, the </w:t>
      </w:r>
      <w:r w:rsidR="000D5090" w:rsidRPr="00764F1A">
        <w:t>NA</w:t>
      </w:r>
      <w:r w:rsidRPr="00764F1A">
        <w:t xml:space="preserve"> is made up, like </w:t>
      </w:r>
      <w:r w:rsidRPr="00311641">
        <w:t>the rest of England, of statistical units called Output Areas (OAs).</w:t>
      </w:r>
      <w:r w:rsidR="000D5090" w:rsidRPr="00311641">
        <w:t xml:space="preserve"> </w:t>
      </w:r>
      <w:r w:rsidR="00916D45" w:rsidRPr="00311641">
        <w:t xml:space="preserve">A breakdown of the OAs relevant to </w:t>
      </w:r>
      <w:r w:rsidR="00D143F2" w:rsidRPr="00311641">
        <w:t>Consett</w:t>
      </w:r>
      <w:r w:rsidR="00916D45" w:rsidRPr="00311641">
        <w:t xml:space="preserve"> is provided in Appendix A. </w:t>
      </w:r>
      <w:r w:rsidR="00042A1A" w:rsidRPr="00311641">
        <w:t>A map of the Plan area appears below in Figure 2-1.</w:t>
      </w:r>
    </w:p>
    <w:p w14:paraId="688D7206" w14:textId="7C834ADC" w:rsidR="000B7068" w:rsidRDefault="00042A1A" w:rsidP="00434C10">
      <w:pPr>
        <w:pStyle w:val="Caption"/>
        <w:jc w:val="both"/>
      </w:pPr>
      <w:r w:rsidRPr="00311641">
        <w:rPr>
          <w:color w:val="auto"/>
        </w:rPr>
        <w:lastRenderedPageBreak/>
        <w:t xml:space="preserve">Figure </w:t>
      </w:r>
      <w:r w:rsidRPr="00311641">
        <w:rPr>
          <w:color w:val="auto"/>
        </w:rPr>
        <w:fldChar w:fldCharType="begin"/>
      </w:r>
      <w:r w:rsidRPr="00311641">
        <w:rPr>
          <w:color w:val="auto"/>
        </w:rPr>
        <w:instrText xml:space="preserve"> STYLEREF 1 \s </w:instrText>
      </w:r>
      <w:r w:rsidRPr="00311641">
        <w:rPr>
          <w:color w:val="auto"/>
        </w:rPr>
        <w:fldChar w:fldCharType="separate"/>
      </w:r>
      <w:r w:rsidRPr="00311641">
        <w:rPr>
          <w:color w:val="auto"/>
        </w:rPr>
        <w:t>2</w:t>
      </w:r>
      <w:r w:rsidRPr="00311641">
        <w:rPr>
          <w:color w:val="auto"/>
        </w:rPr>
        <w:fldChar w:fldCharType="end"/>
      </w:r>
      <w:r w:rsidRPr="00311641">
        <w:rPr>
          <w:color w:val="auto"/>
        </w:rPr>
        <w:noBreakHyphen/>
      </w:r>
      <w:r w:rsidRPr="00311641">
        <w:rPr>
          <w:color w:val="auto"/>
        </w:rPr>
        <w:fldChar w:fldCharType="begin"/>
      </w:r>
      <w:r w:rsidRPr="00311641">
        <w:rPr>
          <w:color w:val="auto"/>
        </w:rPr>
        <w:instrText xml:space="preserve"> SEQ Figure \* ARABIC \s 1 </w:instrText>
      </w:r>
      <w:r w:rsidRPr="00311641">
        <w:rPr>
          <w:color w:val="auto"/>
        </w:rPr>
        <w:fldChar w:fldCharType="separate"/>
      </w:r>
      <w:r w:rsidRPr="00311641">
        <w:rPr>
          <w:color w:val="auto"/>
        </w:rPr>
        <w:t>1</w:t>
      </w:r>
      <w:r w:rsidRPr="00311641">
        <w:rPr>
          <w:color w:val="auto"/>
        </w:rPr>
        <w:fldChar w:fldCharType="end"/>
      </w:r>
      <w:r w:rsidRPr="00311641">
        <w:rPr>
          <w:color w:val="auto"/>
        </w:rPr>
        <w:t xml:space="preserve">: Map of the </w:t>
      </w:r>
      <w:r w:rsidR="00D143F2" w:rsidRPr="00311641">
        <w:rPr>
          <w:color w:val="auto"/>
        </w:rPr>
        <w:t>Consett</w:t>
      </w:r>
      <w:r w:rsidRPr="00311641">
        <w:rPr>
          <w:color w:val="auto"/>
        </w:rPr>
        <w:t xml:space="preserve"> Neighbourhood Area</w:t>
      </w:r>
    </w:p>
    <w:p w14:paraId="0C49BBC7" w14:textId="3755904C" w:rsidR="005554FD" w:rsidRDefault="000B7068" w:rsidP="00252C91">
      <w:pPr>
        <w:pStyle w:val="Source"/>
        <w:jc w:val="both"/>
      </w:pPr>
      <w:r>
        <w:rPr>
          <w:noProof/>
        </w:rPr>
        <w:drawing>
          <wp:inline distT="0" distB="0" distL="0" distR="0" wp14:anchorId="7561793A" wp14:editId="55D3BF0F">
            <wp:extent cx="4162328" cy="4639945"/>
            <wp:effectExtent l="0" t="0" r="0" b="8255"/>
            <wp:docPr id="15520839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83914" name="Picture 1" descr="A screenshot of a computer&#10;&#10;Description automatically generated"/>
                    <pic:cNvPicPr/>
                  </pic:nvPicPr>
                  <pic:blipFill rotWithShape="1">
                    <a:blip r:embed="rId26"/>
                    <a:srcRect l="21660" t="26564" r="63697" b="15401"/>
                    <a:stretch/>
                  </pic:blipFill>
                  <pic:spPr bwMode="auto">
                    <a:xfrm>
                      <a:off x="0" y="0"/>
                      <a:ext cx="4165457" cy="4643433"/>
                    </a:xfrm>
                    <a:prstGeom prst="rect">
                      <a:avLst/>
                    </a:prstGeom>
                    <a:ln>
                      <a:noFill/>
                    </a:ln>
                    <a:extLst>
                      <a:ext uri="{53640926-AAD7-44D8-BBD7-CCE9431645EC}">
                        <a14:shadowObscured xmlns:a14="http://schemas.microsoft.com/office/drawing/2010/main"/>
                      </a:ext>
                    </a:extLst>
                  </pic:spPr>
                </pic:pic>
              </a:graphicData>
            </a:graphic>
          </wp:inline>
        </w:drawing>
      </w:r>
    </w:p>
    <w:p w14:paraId="1C347C54" w14:textId="0AE44E9C" w:rsidR="00042A1A" w:rsidRPr="00764F1A" w:rsidRDefault="00042A1A" w:rsidP="00252C91">
      <w:pPr>
        <w:pStyle w:val="Source"/>
        <w:jc w:val="both"/>
      </w:pPr>
      <w:r w:rsidRPr="00764F1A">
        <w:t>Source:</w:t>
      </w:r>
      <w:r w:rsidR="003075CE">
        <w:t xml:space="preserve"> Consett Designated Neighbourhood Area</w:t>
      </w:r>
      <w:r w:rsidRPr="00764F1A">
        <w:rPr>
          <w:rStyle w:val="FootnoteReference"/>
          <w:rFonts w:asciiTheme="minorHAnsi" w:hAnsiTheme="minorHAnsi"/>
        </w:rPr>
        <w:footnoteReference w:id="4"/>
      </w:r>
    </w:p>
    <w:p w14:paraId="4796E434" w14:textId="77777777" w:rsidR="00D2618A" w:rsidRDefault="00D2618A" w:rsidP="00D2618A">
      <w:pPr>
        <w:pStyle w:val="Numberedtext"/>
        <w:numPr>
          <w:ilvl w:val="2"/>
          <w:numId w:val="39"/>
        </w:numPr>
        <w:ind w:left="851" w:hanging="851"/>
        <w:jc w:val="both"/>
      </w:pPr>
      <w:r w:rsidRPr="00764F1A">
        <w:t xml:space="preserve">At the time of the 2011 Census the NA was home to </w:t>
      </w:r>
      <w:r>
        <w:t>37,035</w:t>
      </w:r>
      <w:r w:rsidRPr="00764F1A">
        <w:t xml:space="preserve"> residents, formed into </w:t>
      </w:r>
      <w:r>
        <w:t>16,413</w:t>
      </w:r>
      <w:r w:rsidRPr="00764F1A">
        <w:t xml:space="preserve"> households and occupying </w:t>
      </w:r>
      <w:r>
        <w:t>17,190</w:t>
      </w:r>
      <w:r w:rsidRPr="00764F1A">
        <w:t xml:space="preserve"> dwellings. The 2021 Census indicates population growth of around </w:t>
      </w:r>
      <w:r>
        <w:t>1,490 individuals (or 4%)</w:t>
      </w:r>
      <w:r w:rsidRPr="00764F1A">
        <w:t xml:space="preserve"> since 2011,</w:t>
      </w:r>
      <w:r>
        <w:t xml:space="preserve"> when the census</w:t>
      </w:r>
      <w:r w:rsidRPr="00764F1A">
        <w:t xml:space="preserve"> record</w:t>
      </w:r>
      <w:r>
        <w:t>ed</w:t>
      </w:r>
      <w:r w:rsidRPr="00764F1A">
        <w:t xml:space="preserve"> a total of </w:t>
      </w:r>
      <w:r>
        <w:t>37,035</w:t>
      </w:r>
      <w:r w:rsidRPr="00764F1A">
        <w:t xml:space="preserve"> residents</w:t>
      </w:r>
      <w:r>
        <w:t>,</w:t>
      </w:r>
      <w:r w:rsidRPr="00764F1A">
        <w:t xml:space="preserve"> </w:t>
      </w:r>
      <w:r>
        <w:t>17,483</w:t>
      </w:r>
      <w:r w:rsidRPr="00764F1A">
        <w:t xml:space="preserve"> households</w:t>
      </w:r>
      <w:r>
        <w:t xml:space="preserve"> and 18,209</w:t>
      </w:r>
      <w:r w:rsidRPr="00764F1A">
        <w:t xml:space="preserve">. The average household size </w:t>
      </w:r>
      <w:r>
        <w:t>of 2.2 didn’t change between 2011 and 2021.</w:t>
      </w:r>
    </w:p>
    <w:p w14:paraId="02BD7583" w14:textId="77777777" w:rsidR="00D2618A" w:rsidRPr="00764F1A" w:rsidRDefault="00D2618A" w:rsidP="00D2618A">
      <w:pPr>
        <w:pStyle w:val="Numberedtext"/>
        <w:jc w:val="both"/>
      </w:pPr>
      <w:r>
        <w:t xml:space="preserve">Completions data provided by County Durham council indicates that between 2011 and 2024, 1,137 dwellings were completed in Consett. The difference between the 2011 and 2021 Censuses suggests that an additional 1,019 new households, which is generally tracks the difference between the two census counts.  However, when looking at annual breakdown of dwelling completions, 181 of these dwellings were completed after 2021 and are therefore unlikely to be counted in the 2021 Census. </w:t>
      </w:r>
    </w:p>
    <w:p w14:paraId="6CFE4696" w14:textId="4C01DD1C" w:rsidR="00E745C2" w:rsidRPr="00764F1A" w:rsidRDefault="00E745C2" w:rsidP="00252C91">
      <w:pPr>
        <w:pStyle w:val="Heading2"/>
        <w:jc w:val="both"/>
        <w:rPr>
          <w:color w:val="auto"/>
          <w:kern w:val="0"/>
        </w:rPr>
      </w:pPr>
      <w:bookmarkStart w:id="48" w:name="_Toc102731827"/>
      <w:bookmarkStart w:id="49" w:name="_Toc31722619"/>
      <w:bookmarkEnd w:id="47"/>
      <w:r w:rsidRPr="00764F1A">
        <w:rPr>
          <w:color w:val="auto"/>
        </w:rPr>
        <w:t xml:space="preserve">The </w:t>
      </w:r>
      <w:r w:rsidR="00042A1A" w:rsidRPr="00764F1A">
        <w:rPr>
          <w:color w:val="auto"/>
        </w:rPr>
        <w:t>h</w:t>
      </w:r>
      <w:r w:rsidRPr="00764F1A">
        <w:rPr>
          <w:color w:val="auto"/>
        </w:rPr>
        <w:t xml:space="preserve">ousing </w:t>
      </w:r>
      <w:r w:rsidR="00042A1A" w:rsidRPr="00764F1A">
        <w:rPr>
          <w:color w:val="auto"/>
        </w:rPr>
        <w:t>m</w:t>
      </w:r>
      <w:r w:rsidRPr="00764F1A">
        <w:rPr>
          <w:color w:val="auto"/>
        </w:rPr>
        <w:t xml:space="preserve">arket </w:t>
      </w:r>
      <w:r w:rsidR="00042A1A" w:rsidRPr="00764F1A">
        <w:rPr>
          <w:color w:val="auto"/>
        </w:rPr>
        <w:t>a</w:t>
      </w:r>
      <w:r w:rsidRPr="00764F1A">
        <w:rPr>
          <w:color w:val="auto"/>
        </w:rPr>
        <w:t xml:space="preserve">rea </w:t>
      </w:r>
      <w:r w:rsidR="00042A1A" w:rsidRPr="00764F1A">
        <w:rPr>
          <w:color w:val="auto"/>
        </w:rPr>
        <w:t>c</w:t>
      </w:r>
      <w:r w:rsidRPr="00764F1A">
        <w:rPr>
          <w:color w:val="auto"/>
        </w:rPr>
        <w:t>ont</w:t>
      </w:r>
      <w:r w:rsidR="00AF3296" w:rsidRPr="00764F1A">
        <w:rPr>
          <w:color w:val="auto"/>
        </w:rPr>
        <w:t>ext</w:t>
      </w:r>
      <w:bookmarkEnd w:id="48"/>
    </w:p>
    <w:p w14:paraId="5F39452F" w14:textId="26B9D5A5" w:rsidR="00D11A82" w:rsidRPr="00311641" w:rsidRDefault="00E745C2" w:rsidP="00252C91">
      <w:pPr>
        <w:pStyle w:val="Numberedtext"/>
        <w:jc w:val="both"/>
      </w:pPr>
      <w:r w:rsidRPr="00311641">
        <w:t xml:space="preserve">Whilst this </w:t>
      </w:r>
      <w:r w:rsidR="007E3A4F" w:rsidRPr="00311641">
        <w:t>Housing Needs Assessment (</w:t>
      </w:r>
      <w:r w:rsidRPr="00311641">
        <w:t>HNA</w:t>
      </w:r>
      <w:r w:rsidR="007E3A4F" w:rsidRPr="00311641">
        <w:t>)</w:t>
      </w:r>
      <w:r w:rsidRPr="00311641">
        <w:t xml:space="preserve"> focuses on </w:t>
      </w:r>
      <w:r w:rsidR="00D143F2" w:rsidRPr="00311641">
        <w:t>Consett</w:t>
      </w:r>
      <w:r w:rsidR="00AF3296" w:rsidRPr="00311641">
        <w:t xml:space="preserve"> </w:t>
      </w:r>
      <w:r w:rsidR="00042A1A" w:rsidRPr="00311641">
        <w:t>NA</w:t>
      </w:r>
      <w:r w:rsidRPr="00311641">
        <w:t xml:space="preserve"> it is important to keep in mind that neighbourhoods are not self</w:t>
      </w:r>
      <w:r w:rsidR="00042A1A" w:rsidRPr="00311641">
        <w:t>-</w:t>
      </w:r>
      <w:r w:rsidRPr="00311641">
        <w:t xml:space="preserve">contained housing market areas. Housing market areas are usually wider than local authority areas and often stretch </w:t>
      </w:r>
      <w:r w:rsidRPr="00311641">
        <w:lastRenderedPageBreak/>
        <w:t xml:space="preserve">across </w:t>
      </w:r>
      <w:proofErr w:type="gramStart"/>
      <w:r w:rsidRPr="00311641">
        <w:t>a number of</w:t>
      </w:r>
      <w:proofErr w:type="gramEnd"/>
      <w:r w:rsidRPr="00311641">
        <w:t xml:space="preserve"> districts or boroughs. This is because housing market areas are inherently linked to the </w:t>
      </w:r>
      <w:proofErr w:type="spellStart"/>
      <w:r w:rsidRPr="00311641">
        <w:t>labour</w:t>
      </w:r>
      <w:proofErr w:type="spellEnd"/>
      <w:r w:rsidRPr="00311641">
        <w:t xml:space="preserve"> market, employment patterns and travel to work areas. </w:t>
      </w:r>
    </w:p>
    <w:p w14:paraId="04010645" w14:textId="21A561E8" w:rsidR="00D11A82" w:rsidRPr="00D47C9D" w:rsidRDefault="00E745C2" w:rsidP="00252C91">
      <w:pPr>
        <w:pStyle w:val="Numberedtext"/>
        <w:jc w:val="both"/>
      </w:pPr>
      <w:r w:rsidRPr="00311641">
        <w:t xml:space="preserve">In the case of </w:t>
      </w:r>
      <w:r w:rsidR="00D143F2" w:rsidRPr="00311641">
        <w:t>Consett</w:t>
      </w:r>
      <w:r w:rsidRPr="00311641">
        <w:t>, the</w:t>
      </w:r>
      <w:r w:rsidR="00042A1A" w:rsidRPr="00311641">
        <w:t xml:space="preserve"> NA</w:t>
      </w:r>
      <w:r w:rsidRPr="00311641">
        <w:t xml:space="preserve"> sits within a housing market area which covers </w:t>
      </w:r>
      <w:r w:rsidR="000E32F6" w:rsidRPr="00311641">
        <w:t>County Durham.</w:t>
      </w:r>
      <w:r w:rsidR="002A03D9" w:rsidRPr="00311641">
        <w:rPr>
          <w:rStyle w:val="FootnoteReference"/>
        </w:rPr>
        <w:footnoteReference w:id="5"/>
      </w:r>
      <w:r w:rsidRPr="00311641">
        <w:t xml:space="preserve"> This means tha</w:t>
      </w:r>
      <w:r w:rsidR="000F1625" w:rsidRPr="00311641">
        <w:t>t</w:t>
      </w:r>
      <w:r w:rsidRPr="00311641">
        <w:t xml:space="preserve"> when households who live in these authorities move home, the vast majority move within </w:t>
      </w:r>
      <w:r w:rsidR="00E62A1C" w:rsidRPr="00311641">
        <w:t>this geography</w:t>
      </w:r>
      <w:r w:rsidRPr="00311641">
        <w:t xml:space="preserve">. </w:t>
      </w:r>
      <w:r w:rsidR="000E32F6" w:rsidRPr="00311641">
        <w:t>However, t</w:t>
      </w:r>
      <w:r w:rsidR="00732051" w:rsidRPr="00311641">
        <w:t>h</w:t>
      </w:r>
      <w:r w:rsidR="000E32F6" w:rsidRPr="00311641">
        <w:t>is</w:t>
      </w:r>
      <w:r w:rsidR="00732051" w:rsidRPr="00311641">
        <w:t xml:space="preserve"> housing market area also has</w:t>
      </w:r>
      <w:r w:rsidR="000E32F6" w:rsidRPr="00311641">
        <w:t xml:space="preserve"> strong</w:t>
      </w:r>
      <w:r w:rsidR="00732051" w:rsidRPr="00D47C9D">
        <w:t xml:space="preserve"> links to other</w:t>
      </w:r>
      <w:r w:rsidRPr="00D47C9D">
        <w:t xml:space="preserve"> </w:t>
      </w:r>
      <w:proofErr w:type="spellStart"/>
      <w:r w:rsidRPr="00D47C9D">
        <w:t>neighbouring</w:t>
      </w:r>
      <w:proofErr w:type="spellEnd"/>
      <w:r w:rsidRPr="00D47C9D">
        <w:t xml:space="preserve"> areas, including</w:t>
      </w:r>
      <w:r w:rsidR="000E32F6" w:rsidRPr="00D47C9D">
        <w:t xml:space="preserve"> </w:t>
      </w:r>
      <w:r w:rsidR="00D47C9D" w:rsidRPr="00D47C9D">
        <w:t xml:space="preserve">Newcastle, Darlington and Sunderland. </w:t>
      </w:r>
      <w:r w:rsidRPr="00D47C9D">
        <w:t xml:space="preserve"> </w:t>
      </w:r>
    </w:p>
    <w:p w14:paraId="1C067F87" w14:textId="60A9B534" w:rsidR="00D11A82" w:rsidRPr="00D47C9D" w:rsidRDefault="00E745C2" w:rsidP="00252C91">
      <w:pPr>
        <w:pStyle w:val="Numberedtext"/>
        <w:jc w:val="both"/>
      </w:pPr>
      <w:r w:rsidRPr="00D47C9D">
        <w:t xml:space="preserve">At the neighbourhood scale it is not possible to be definitive about housing need and demand because neighbourhoods, including </w:t>
      </w:r>
      <w:r w:rsidR="00D143F2" w:rsidRPr="00D47C9D">
        <w:t>Consett</w:t>
      </w:r>
      <w:r w:rsidRPr="00D47C9D">
        <w:t xml:space="preserve">, are closely linked to other areas. In the case of </w:t>
      </w:r>
      <w:r w:rsidR="00D143F2" w:rsidRPr="00D47C9D">
        <w:t>Consett</w:t>
      </w:r>
      <w:r w:rsidRPr="00D47C9D">
        <w:t>, changes in need or demand in settlements</w:t>
      </w:r>
      <w:r w:rsidR="000B2B52" w:rsidRPr="000B2B52">
        <w:t xml:space="preserve"> </w:t>
      </w:r>
      <w:r w:rsidR="000B2B52" w:rsidRPr="00D47C9D">
        <w:t>nearby</w:t>
      </w:r>
      <w:r w:rsidR="000B2B52">
        <w:t>, including Durham</w:t>
      </w:r>
      <w:r w:rsidR="00E43751">
        <w:t xml:space="preserve"> and Newcastle</w:t>
      </w:r>
      <w:r w:rsidR="000B2B52">
        <w:t>,</w:t>
      </w:r>
      <w:r w:rsidRPr="00D47C9D">
        <w:t xml:space="preserve"> is likely to impact on the neighbourhood. </w:t>
      </w:r>
    </w:p>
    <w:p w14:paraId="0679DC1A" w14:textId="5CE8F7BB" w:rsidR="00E745C2" w:rsidRPr="00D47C9D" w:rsidRDefault="00E745C2" w:rsidP="00252C91">
      <w:pPr>
        <w:pStyle w:val="Numberedtext"/>
        <w:jc w:val="both"/>
      </w:pPr>
      <w:r w:rsidRPr="00D47C9D">
        <w:t xml:space="preserve">In summary, </w:t>
      </w:r>
      <w:r w:rsidR="00D143F2" w:rsidRPr="00D47C9D">
        <w:t>Consett</w:t>
      </w:r>
      <w:r w:rsidRPr="00D47C9D">
        <w:t xml:space="preserve"> functions within a wider strategic area. As well as fostering good working relationships with the local planning authority (</w:t>
      </w:r>
      <w:r w:rsidR="00D47C9D" w:rsidRPr="00D47C9D">
        <w:t>County Durham</w:t>
      </w:r>
      <w:r w:rsidR="00447A31" w:rsidRPr="00D47C9D">
        <w:t>)</w:t>
      </w:r>
      <w:r w:rsidRPr="00D47C9D">
        <w:t xml:space="preserve">, it is therefore useful to think about the </w:t>
      </w:r>
      <w:r w:rsidRPr="00D47C9D">
        <w:rPr>
          <w:i/>
          <w:iCs/>
        </w:rPr>
        <w:t>role</w:t>
      </w:r>
      <w:r w:rsidRPr="00D47C9D">
        <w:t xml:space="preserve"> of the neighbourhood within the wider area. </w:t>
      </w:r>
      <w:r w:rsidR="00B9350D" w:rsidRPr="00D47C9D">
        <w:t xml:space="preserve">This HNA can provide evidence to understand this role and </w:t>
      </w:r>
      <w:r w:rsidR="000444CC" w:rsidRPr="00D47C9D">
        <w:t xml:space="preserve">the specific features of the neighbourhood within this wider context. </w:t>
      </w:r>
      <w:r w:rsidRPr="00D47C9D">
        <w:t xml:space="preserve">Neighbourhood Plans </w:t>
      </w:r>
      <w:r w:rsidR="00BC0478" w:rsidRPr="00D47C9D">
        <w:t xml:space="preserve">can have a </w:t>
      </w:r>
      <w:r w:rsidR="001321F2" w:rsidRPr="00D47C9D">
        <w:t xml:space="preserve">significant impact </w:t>
      </w:r>
      <w:r w:rsidRPr="00D47C9D">
        <w:t xml:space="preserve">in shaping their neighbourhoods, enhancing the positive role </w:t>
      </w:r>
      <w:r w:rsidR="00BC0478" w:rsidRPr="00D47C9D">
        <w:t>the neighbourhood</w:t>
      </w:r>
      <w:r w:rsidRPr="00D47C9D">
        <w:t xml:space="preserve"> play</w:t>
      </w:r>
      <w:r w:rsidR="00215496" w:rsidRPr="00D47C9D">
        <w:t>s</w:t>
      </w:r>
      <w:r w:rsidRPr="00D47C9D">
        <w:t xml:space="preserve"> within the wider housing market, or developing polic</w:t>
      </w:r>
      <w:r w:rsidR="009B3879" w:rsidRPr="00D47C9D">
        <w:t>i</w:t>
      </w:r>
      <w:r w:rsidRPr="00D47C9D">
        <w:t xml:space="preserve">es to change entrenched patterns and improve housing outcomes in the neighbourhood and wider area. </w:t>
      </w:r>
    </w:p>
    <w:p w14:paraId="1D1A4133" w14:textId="2199E719" w:rsidR="008129C3" w:rsidRPr="00764F1A" w:rsidRDefault="008129C3" w:rsidP="00252C91">
      <w:pPr>
        <w:pStyle w:val="Heading2"/>
        <w:jc w:val="both"/>
        <w:rPr>
          <w:color w:val="auto"/>
        </w:rPr>
      </w:pPr>
      <w:bookmarkStart w:id="50" w:name="_Toc102731828"/>
      <w:r w:rsidRPr="00764F1A">
        <w:rPr>
          <w:color w:val="auto"/>
        </w:rPr>
        <w:t>Planning policy context</w:t>
      </w:r>
      <w:bookmarkEnd w:id="49"/>
      <w:bookmarkEnd w:id="50"/>
    </w:p>
    <w:p w14:paraId="5159EDB8" w14:textId="1DB62BDB" w:rsidR="00D11A82" w:rsidRPr="00764F1A" w:rsidRDefault="008129C3" w:rsidP="00252C91">
      <w:pPr>
        <w:pStyle w:val="Numberedtext"/>
        <w:jc w:val="both"/>
      </w:pPr>
      <w:r w:rsidRPr="00764F1A">
        <w:t>Neighbourhood Plans are required to be in general conformity with adopted strategic local policies.</w:t>
      </w:r>
      <w:r w:rsidRPr="00764F1A">
        <w:rPr>
          <w:rStyle w:val="FootnoteReference"/>
        </w:rPr>
        <w:footnoteReference w:id="6"/>
      </w:r>
      <w:r w:rsidRPr="00764F1A">
        <w:t xml:space="preserve"> In the case of </w:t>
      </w:r>
      <w:r w:rsidR="0033695D">
        <w:t>Durham County Council</w:t>
      </w:r>
      <w:r w:rsidRPr="00764F1A">
        <w:t>, the relevant adopted Local Plan consists of:</w:t>
      </w:r>
    </w:p>
    <w:p w14:paraId="567F2471" w14:textId="0FE483DA" w:rsidR="00D11A82" w:rsidRPr="00764F1A" w:rsidRDefault="0033695D" w:rsidP="00252C91">
      <w:pPr>
        <w:pStyle w:val="ListBullet"/>
        <w:jc w:val="both"/>
      </w:pPr>
      <w:r>
        <w:t>County Durham Plan</w:t>
      </w:r>
      <w:r w:rsidR="00DD7473">
        <w:t xml:space="preserve"> 2035</w:t>
      </w:r>
      <w:r>
        <w:t xml:space="preserve"> (adopted, 2020)</w:t>
      </w:r>
    </w:p>
    <w:p w14:paraId="2BF33371" w14:textId="250010B5" w:rsidR="00F30E4D" w:rsidRPr="00764F1A" w:rsidRDefault="00F30E4D" w:rsidP="00252C91">
      <w:pPr>
        <w:pStyle w:val="Numberedtext"/>
        <w:jc w:val="both"/>
      </w:pPr>
      <w:r w:rsidRPr="00764F1A">
        <w:t xml:space="preserve">A detailed breakdown of the Local Plan policies relevant to housing need is provided in Appendix B. Here, it is worth </w:t>
      </w:r>
      <w:proofErr w:type="spellStart"/>
      <w:r w:rsidRPr="00764F1A">
        <w:t>summarising</w:t>
      </w:r>
      <w:proofErr w:type="spellEnd"/>
      <w:r w:rsidRPr="00764F1A">
        <w:t xml:space="preserve"> the most important points</w:t>
      </w:r>
      <w:r w:rsidR="00ED588E" w:rsidRPr="00764F1A">
        <w:t xml:space="preserve"> of the </w:t>
      </w:r>
      <w:r w:rsidR="0033695D">
        <w:t>adopted</w:t>
      </w:r>
      <w:r w:rsidR="00ED588E" w:rsidRPr="00764F1A">
        <w:t xml:space="preserve"> Local Plan</w:t>
      </w:r>
      <w:r w:rsidRPr="00764F1A">
        <w:t>:</w:t>
      </w:r>
    </w:p>
    <w:p w14:paraId="32814771" w14:textId="6999875F" w:rsidR="00ED588E" w:rsidRPr="00DA4B71" w:rsidRDefault="00ED588E" w:rsidP="00252C91">
      <w:pPr>
        <w:pStyle w:val="ListBullet"/>
        <w:jc w:val="both"/>
      </w:pPr>
      <w:r w:rsidRPr="00DA4B71">
        <w:t xml:space="preserve">Local Plan Policy </w:t>
      </w:r>
      <w:r w:rsidR="00F93BAD" w:rsidRPr="00DA4B71">
        <w:t>1</w:t>
      </w:r>
      <w:r w:rsidRPr="00DA4B71">
        <w:t xml:space="preserve"> identifies an overall housing </w:t>
      </w:r>
      <w:r w:rsidR="00877643">
        <w:t>requirement</w:t>
      </w:r>
      <w:r w:rsidR="00877643" w:rsidRPr="00DA4B71">
        <w:t xml:space="preserve"> </w:t>
      </w:r>
      <w:r w:rsidRPr="00DA4B71">
        <w:t xml:space="preserve">of </w:t>
      </w:r>
      <w:r w:rsidR="00D92021" w:rsidRPr="00DA4B71">
        <w:t>1,308</w:t>
      </w:r>
      <w:r w:rsidRPr="00DA4B71">
        <w:t xml:space="preserve"> homes per year for </w:t>
      </w:r>
      <w:r w:rsidR="00D92021" w:rsidRPr="00DA4B71">
        <w:t>County Durham, or 24,</w:t>
      </w:r>
      <w:r w:rsidR="00696274" w:rsidRPr="00DA4B71">
        <w:t xml:space="preserve">852 over the Local Plan </w:t>
      </w:r>
      <w:proofErr w:type="gramStart"/>
      <w:r w:rsidR="00696274" w:rsidRPr="00DA4B71">
        <w:t>period</w:t>
      </w:r>
      <w:r w:rsidRPr="00DA4B71">
        <w:t>;</w:t>
      </w:r>
      <w:proofErr w:type="gramEnd"/>
    </w:p>
    <w:p w14:paraId="3A7659A9" w14:textId="77777777" w:rsidR="00934017" w:rsidRDefault="00ED588E" w:rsidP="00DA4B71">
      <w:pPr>
        <w:pStyle w:val="ListBullet"/>
        <w:jc w:val="both"/>
      </w:pPr>
      <w:r w:rsidRPr="00DA4B71">
        <w:t xml:space="preserve">In Policy </w:t>
      </w:r>
      <w:r w:rsidR="00696274" w:rsidRPr="00DA4B71">
        <w:t>4, five sites are allocated in</w:t>
      </w:r>
      <w:r w:rsidRPr="00DA4B71">
        <w:t xml:space="preserve"> </w:t>
      </w:r>
      <w:r w:rsidR="00D143F2" w:rsidRPr="00DA4B71">
        <w:t>Consett</w:t>
      </w:r>
      <w:r w:rsidR="00696274" w:rsidRPr="00DA4B71">
        <w:t xml:space="preserve"> which </w:t>
      </w:r>
      <w:r w:rsidR="007A1487" w:rsidRPr="00DA4B71">
        <w:t xml:space="preserve">should deliver a total of 670 </w:t>
      </w:r>
      <w:proofErr w:type="gramStart"/>
      <w:r w:rsidR="007A1487" w:rsidRPr="00DA4B71">
        <w:t>dwellings</w:t>
      </w:r>
      <w:r w:rsidR="00934017">
        <w:t>;</w:t>
      </w:r>
      <w:proofErr w:type="gramEnd"/>
    </w:p>
    <w:p w14:paraId="6E4156AE" w14:textId="1272BB70" w:rsidR="00F30E4D" w:rsidRPr="00764F1A" w:rsidRDefault="00934017" w:rsidP="00DA4B71">
      <w:pPr>
        <w:pStyle w:val="ListBullet"/>
        <w:jc w:val="both"/>
      </w:pPr>
      <w:r>
        <w:t>Policy 9</w:t>
      </w:r>
      <w:r w:rsidR="000E7ACD">
        <w:t xml:space="preserve"> designates Consett as a ‘Large Town Centre</w:t>
      </w:r>
      <w:proofErr w:type="gramStart"/>
      <w:r w:rsidR="000E7ACD">
        <w:t>’;</w:t>
      </w:r>
      <w:proofErr w:type="gramEnd"/>
      <w:r w:rsidR="000E7ACD">
        <w:t xml:space="preserve"> </w:t>
      </w:r>
      <w:r w:rsidR="007A1487" w:rsidRPr="00DA4B71">
        <w:t xml:space="preserve"> </w:t>
      </w:r>
    </w:p>
    <w:p w14:paraId="4BD09AA2" w14:textId="072C1256" w:rsidR="00ED588E" w:rsidRPr="00764F1A" w:rsidRDefault="00ED588E" w:rsidP="00252C91">
      <w:pPr>
        <w:pStyle w:val="ListBullet"/>
        <w:jc w:val="both"/>
      </w:pPr>
      <w:r w:rsidRPr="00764F1A">
        <w:t xml:space="preserve">Policy </w:t>
      </w:r>
      <w:r w:rsidR="007A1487">
        <w:t>15</w:t>
      </w:r>
      <w:r w:rsidRPr="00764F1A">
        <w:t xml:space="preserve"> states that </w:t>
      </w:r>
      <w:r w:rsidR="007A1487">
        <w:t>between 10</w:t>
      </w:r>
      <w:r w:rsidR="00B81854">
        <w:t>%</w:t>
      </w:r>
      <w:r w:rsidR="007A1487">
        <w:t xml:space="preserve"> and 25% </w:t>
      </w:r>
      <w:r w:rsidRPr="00764F1A">
        <w:t xml:space="preserve">of all new dwellings are expected to be delivered as Affordable Housing on sites larger than </w:t>
      </w:r>
      <w:r w:rsidR="007A1487">
        <w:t>10</w:t>
      </w:r>
      <w:r w:rsidRPr="00764F1A">
        <w:t xml:space="preserve"> homes. The suggested tenure mix within Affordable Housing is </w:t>
      </w:r>
      <w:r w:rsidR="007A1487">
        <w:t>90</w:t>
      </w:r>
      <w:r w:rsidRPr="00764F1A">
        <w:t xml:space="preserve">% affordable rent to </w:t>
      </w:r>
      <w:r w:rsidR="007A1487">
        <w:t>10</w:t>
      </w:r>
      <w:r w:rsidRPr="00764F1A">
        <w:t xml:space="preserve">% affordable home </w:t>
      </w:r>
      <w:proofErr w:type="gramStart"/>
      <w:r w:rsidRPr="00764F1A">
        <w:t>ownership;</w:t>
      </w:r>
      <w:proofErr w:type="gramEnd"/>
    </w:p>
    <w:p w14:paraId="5DFE77B8" w14:textId="262DD38C" w:rsidR="00ED588E" w:rsidRPr="00764F1A" w:rsidRDefault="00ED588E" w:rsidP="00252C91">
      <w:pPr>
        <w:pStyle w:val="ListBullet"/>
        <w:jc w:val="both"/>
      </w:pPr>
      <w:r w:rsidRPr="00764F1A">
        <w:lastRenderedPageBreak/>
        <w:t xml:space="preserve">Policy </w:t>
      </w:r>
      <w:r w:rsidR="007A1487">
        <w:t>15</w:t>
      </w:r>
      <w:r w:rsidRPr="00764F1A">
        <w:t xml:space="preserve"> sets out an expectation that </w:t>
      </w:r>
      <w:r w:rsidR="007A1487">
        <w:t>66</w:t>
      </w:r>
      <w:r w:rsidRPr="00764F1A">
        <w:t>% of new homes</w:t>
      </w:r>
      <w:r w:rsidR="007A1487">
        <w:t>, on sites of more than 5 units,</w:t>
      </w:r>
      <w:r w:rsidRPr="00764F1A">
        <w:t xml:space="preserve"> will be built to Category M4(2) accessibility standards.</w:t>
      </w:r>
    </w:p>
    <w:p w14:paraId="0324BF3D" w14:textId="77777777" w:rsidR="008129C3" w:rsidRPr="00764F1A" w:rsidRDefault="008129C3" w:rsidP="00252C91">
      <w:pPr>
        <w:pStyle w:val="Heading2"/>
        <w:jc w:val="both"/>
        <w:rPr>
          <w:color w:val="auto"/>
        </w:rPr>
      </w:pPr>
      <w:bookmarkStart w:id="51" w:name="_Toc31722622"/>
      <w:bookmarkStart w:id="52" w:name="_Toc102731831"/>
      <w:r w:rsidRPr="00764F1A">
        <w:rPr>
          <w:color w:val="auto"/>
        </w:rPr>
        <w:t>Quantity of housing to provide</w:t>
      </w:r>
      <w:bookmarkEnd w:id="51"/>
      <w:bookmarkEnd w:id="52"/>
    </w:p>
    <w:p w14:paraId="2AD83D7D" w14:textId="13A6A8EA" w:rsidR="00D11A82" w:rsidRPr="00764F1A" w:rsidRDefault="008129C3" w:rsidP="00252C91">
      <w:pPr>
        <w:pStyle w:val="Numberedtext"/>
        <w:jc w:val="both"/>
      </w:pPr>
      <w:r w:rsidRPr="00764F1A">
        <w:t>The NPPF 20</w:t>
      </w:r>
      <w:r w:rsidR="00815756" w:rsidRPr="00764F1A">
        <w:t>2</w:t>
      </w:r>
      <w:r w:rsidR="00BE4B9A">
        <w:t>4</w:t>
      </w:r>
      <w:r w:rsidRPr="00764F1A">
        <w:t xml:space="preserve"> (paragraphs 6</w:t>
      </w:r>
      <w:r w:rsidR="00BE4B9A">
        <w:t>9</w:t>
      </w:r>
      <w:r w:rsidRPr="00764F1A">
        <w:t xml:space="preserve"> and </w:t>
      </w:r>
      <w:r w:rsidR="00BE4B9A">
        <w:t>70</w:t>
      </w:r>
      <w:r w:rsidRPr="00764F1A">
        <w:t xml:space="preserve">) requires </w:t>
      </w:r>
      <w:r w:rsidR="00757DCC" w:rsidRPr="00764F1A">
        <w:t>LPAs</w:t>
      </w:r>
      <w:r w:rsidRPr="00764F1A">
        <w:t xml:space="preserve"> to provide neighbourhood groups upon request with a definitive or an indicative number of houses to plan for over the Neighbourhood Plan period.</w:t>
      </w:r>
    </w:p>
    <w:p w14:paraId="3FF7E9EB" w14:textId="77777777" w:rsidR="008F49F5" w:rsidRDefault="00DC6F3A" w:rsidP="00252C91">
      <w:pPr>
        <w:pStyle w:val="Numberedtext"/>
        <w:jc w:val="both"/>
      </w:pPr>
      <w:r>
        <w:t>Durham County Council</w:t>
      </w:r>
      <w:r w:rsidR="007A1487">
        <w:t xml:space="preserve"> </w:t>
      </w:r>
      <w:r w:rsidR="008129C3" w:rsidRPr="00764F1A">
        <w:t xml:space="preserve">has fulfilled that requirement by providing </w:t>
      </w:r>
      <w:r w:rsidR="00D143F2">
        <w:t>Consett</w:t>
      </w:r>
      <w:r w:rsidR="008129C3" w:rsidRPr="00764F1A">
        <w:t xml:space="preserve"> with</w:t>
      </w:r>
      <w:r w:rsidR="007A1487">
        <w:t xml:space="preserve"> site allocations for </w:t>
      </w:r>
      <w:r w:rsidR="00032F80">
        <w:t xml:space="preserve">670 dwellings to be completed across five sites in the </w:t>
      </w:r>
      <w:r w:rsidR="00E471FC">
        <w:t>NA</w:t>
      </w:r>
      <w:r w:rsidR="00415CED">
        <w:t xml:space="preserve"> (between 2016 and 2035)</w:t>
      </w:r>
      <w:r w:rsidR="00E471FC">
        <w:t>.</w:t>
      </w:r>
      <w:r w:rsidR="00D70FA6">
        <w:t xml:space="preserve"> Completions data provided by </w:t>
      </w:r>
      <w:r w:rsidR="00B13CFE">
        <w:t>County Durham Council indicate that since 2016, a total of 623 dwellings have been completed in Consett (with a further 791 dwellings committed)</w:t>
      </w:r>
      <w:r w:rsidR="008F49F5">
        <w:t xml:space="preserve">. </w:t>
      </w:r>
    </w:p>
    <w:p w14:paraId="116289E5" w14:textId="4BDD9D99" w:rsidR="00415CED" w:rsidRDefault="008F49F5" w:rsidP="00252C91">
      <w:pPr>
        <w:pStyle w:val="Numberedtext"/>
        <w:jc w:val="both"/>
      </w:pPr>
      <w:r>
        <w:t xml:space="preserve">As such, it can be assumed that Consett has fulfilled its housing </w:t>
      </w:r>
      <w:r w:rsidR="006A3C2D">
        <w:t xml:space="preserve">requirement </w:t>
      </w:r>
      <w:r w:rsidR="00C847EE">
        <w:t xml:space="preserve">through </w:t>
      </w:r>
      <w:r w:rsidR="0044740F">
        <w:t xml:space="preserve">the </w:t>
      </w:r>
      <w:r w:rsidR="00C847EE">
        <w:t xml:space="preserve">sites </w:t>
      </w:r>
      <w:r w:rsidR="003338B5">
        <w:t>allocated in the Local Plan</w:t>
      </w:r>
      <w:r w:rsidR="00405F4D">
        <w:t>,</w:t>
      </w:r>
      <w:r w:rsidR="003338B5">
        <w:t xml:space="preserve"> </w:t>
      </w:r>
      <w:r w:rsidR="00405F4D">
        <w:t xml:space="preserve">which have largely been completed, </w:t>
      </w:r>
      <w:proofErr w:type="gramStart"/>
      <w:r w:rsidR="003338B5">
        <w:t>and</w:t>
      </w:r>
      <w:r w:rsidR="0044740F">
        <w:t xml:space="preserve"> also</w:t>
      </w:r>
      <w:proofErr w:type="gramEnd"/>
      <w:r w:rsidR="003338B5">
        <w:t xml:space="preserve"> future committed dwellings. </w:t>
      </w:r>
      <w:r w:rsidR="00C847EE">
        <w:t xml:space="preserve"> </w:t>
      </w:r>
      <w:proofErr w:type="gramStart"/>
      <w:r w:rsidR="00CB55FA">
        <w:t>For the purpose of</w:t>
      </w:r>
      <w:proofErr w:type="gramEnd"/>
      <w:r w:rsidR="00CB55FA">
        <w:t xml:space="preserve"> calculations later in this report (e.g. Affordable Housing) it is considered that Consett does not have an unmet housing requirement.</w:t>
      </w:r>
    </w:p>
    <w:p w14:paraId="4407F458" w14:textId="77777777" w:rsidR="008129C3" w:rsidRPr="00764F1A" w:rsidRDefault="008129C3" w:rsidP="00252C91">
      <w:pPr>
        <w:pStyle w:val="ListNumber"/>
        <w:numPr>
          <w:ilvl w:val="0"/>
          <w:numId w:val="0"/>
        </w:numPr>
        <w:spacing w:line="276" w:lineRule="auto"/>
        <w:jc w:val="both"/>
        <w:rPr>
          <w:i/>
        </w:rPr>
      </w:pPr>
    </w:p>
    <w:p w14:paraId="0035AB44" w14:textId="77777777" w:rsidR="008129C3" w:rsidRPr="00764F1A" w:rsidRDefault="008129C3" w:rsidP="00252C91">
      <w:pPr>
        <w:spacing w:line="276" w:lineRule="auto"/>
        <w:jc w:val="both"/>
        <w:rPr>
          <w:rFonts w:eastAsiaTheme="majorEastAsia" w:cstheme="majorBidi"/>
          <w:sz w:val="30"/>
          <w:szCs w:val="28"/>
          <w:highlight w:val="lightGray"/>
          <w:lang w:val="en-US"/>
        </w:rPr>
      </w:pPr>
      <w:r w:rsidRPr="00764F1A">
        <w:rPr>
          <w:highlight w:val="lightGray"/>
          <w:lang w:val="en-US"/>
        </w:rPr>
        <w:br w:type="page"/>
      </w:r>
    </w:p>
    <w:p w14:paraId="25F7F445" w14:textId="420E9901" w:rsidR="008129C3" w:rsidRPr="00764F1A" w:rsidRDefault="00E0659C" w:rsidP="00252C91">
      <w:pPr>
        <w:pStyle w:val="Heading1"/>
        <w:jc w:val="both"/>
        <w:rPr>
          <w:color w:val="auto"/>
        </w:rPr>
      </w:pPr>
      <w:bookmarkStart w:id="53" w:name="_Toc31722623"/>
      <w:bookmarkStart w:id="54" w:name="_Toc102731832"/>
      <w:bookmarkStart w:id="55" w:name="_Toc170398385"/>
      <w:bookmarkStart w:id="56" w:name="_Toc185339911"/>
      <w:r w:rsidRPr="00764F1A">
        <w:rPr>
          <w:color w:val="auto"/>
        </w:rPr>
        <w:lastRenderedPageBreak/>
        <w:t>Objectives and a</w:t>
      </w:r>
      <w:r w:rsidR="008129C3" w:rsidRPr="00764F1A">
        <w:rPr>
          <w:color w:val="auto"/>
        </w:rPr>
        <w:t>pproach</w:t>
      </w:r>
      <w:bookmarkEnd w:id="43"/>
      <w:bookmarkEnd w:id="44"/>
      <w:bookmarkEnd w:id="53"/>
      <w:bookmarkEnd w:id="54"/>
      <w:bookmarkEnd w:id="55"/>
      <w:bookmarkEnd w:id="56"/>
    </w:p>
    <w:p w14:paraId="3462C71F" w14:textId="233D27AF" w:rsidR="008129C3" w:rsidRPr="00764F1A" w:rsidRDefault="00513132" w:rsidP="00252C91">
      <w:pPr>
        <w:pStyle w:val="Heading2"/>
        <w:jc w:val="both"/>
        <w:rPr>
          <w:color w:val="auto"/>
        </w:rPr>
      </w:pPr>
      <w:bookmarkStart w:id="57" w:name="_Hlk34231783"/>
      <w:r w:rsidRPr="00764F1A">
        <w:rPr>
          <w:color w:val="auto"/>
        </w:rPr>
        <w:t>Objectives</w:t>
      </w:r>
    </w:p>
    <w:p w14:paraId="4C7DC023" w14:textId="3C58C255" w:rsidR="008129C3" w:rsidRPr="00764F1A" w:rsidRDefault="008129C3" w:rsidP="00252C91">
      <w:pPr>
        <w:pStyle w:val="Numberedtext"/>
        <w:jc w:val="both"/>
      </w:pPr>
      <w:r w:rsidRPr="00764F1A">
        <w:t>Th</w:t>
      </w:r>
      <w:r w:rsidR="00513132" w:rsidRPr="00764F1A">
        <w:t xml:space="preserve">is HNA is structured according </w:t>
      </w:r>
      <w:r w:rsidR="00513132" w:rsidRPr="0029605F">
        <w:t xml:space="preserve">to </w:t>
      </w:r>
      <w:proofErr w:type="gramStart"/>
      <w:r w:rsidR="00513132" w:rsidRPr="0029605F">
        <w:t>a number of</w:t>
      </w:r>
      <w:proofErr w:type="gramEnd"/>
      <w:r w:rsidR="00513132" w:rsidRPr="0029605F">
        <w:t xml:space="preserve"> themes or topics that were agreed </w:t>
      </w:r>
      <w:r w:rsidRPr="0029605F">
        <w:t xml:space="preserve">at the outset of the research with the </w:t>
      </w:r>
      <w:r w:rsidR="00D143F2" w:rsidRPr="0029605F">
        <w:t>Consett</w:t>
      </w:r>
      <w:r w:rsidR="00257118" w:rsidRPr="0029605F">
        <w:t xml:space="preserve"> Neighbourhood Plan Forum</w:t>
      </w:r>
      <w:r w:rsidR="0029605F" w:rsidRPr="0029605F">
        <w:t>.</w:t>
      </w:r>
      <w:r w:rsidR="00257118" w:rsidRPr="0029605F">
        <w:t xml:space="preserve"> </w:t>
      </w:r>
      <w:r w:rsidRPr="0029605F">
        <w:t xml:space="preserve"> </w:t>
      </w:r>
      <w:r w:rsidR="00513132" w:rsidRPr="0029605F">
        <w:t>These themes are broadly aligned with the kinds of housing</w:t>
      </w:r>
      <w:r w:rsidR="00513132" w:rsidRPr="00764F1A">
        <w:t xml:space="preserve"> policy areas available to neighbourhood plans, and each will form a distinct chapter of this report. The sub-sections below give a brief overview of the objectives of each chapter.</w:t>
      </w:r>
      <w:r w:rsidRPr="00764F1A">
        <w:t xml:space="preserve"> </w:t>
      </w:r>
    </w:p>
    <w:p w14:paraId="5AB9D58E" w14:textId="7DA87CEC" w:rsidR="008129C3" w:rsidRPr="00764F1A" w:rsidRDefault="008129C3" w:rsidP="00252C91">
      <w:pPr>
        <w:pStyle w:val="Heading3"/>
        <w:jc w:val="both"/>
        <w:rPr>
          <w:color w:val="auto"/>
        </w:rPr>
      </w:pPr>
      <w:bookmarkStart w:id="58" w:name="_Toc31722626"/>
      <w:bookmarkStart w:id="59" w:name="_Toc102731835"/>
      <w:r w:rsidRPr="00764F1A">
        <w:rPr>
          <w:color w:val="auto"/>
        </w:rPr>
        <w:t>Affordability</w:t>
      </w:r>
      <w:bookmarkEnd w:id="58"/>
      <w:bookmarkEnd w:id="59"/>
      <w:r w:rsidR="00ED1DB3" w:rsidRPr="00764F1A">
        <w:rPr>
          <w:color w:val="auto"/>
        </w:rPr>
        <w:t xml:space="preserve"> and Affordable Housing</w:t>
      </w:r>
    </w:p>
    <w:p w14:paraId="7BFEE88B" w14:textId="77777777" w:rsidR="00D11A82" w:rsidRPr="00764F1A" w:rsidRDefault="00ED1DB3" w:rsidP="00252C91">
      <w:pPr>
        <w:pStyle w:val="Numberedtext"/>
        <w:jc w:val="both"/>
      </w:pPr>
      <w:r w:rsidRPr="00764F1A">
        <w:t xml:space="preserve">Neighbourhood plans may include policies that influence the scale of Affordable Housing </w:t>
      </w:r>
      <w:proofErr w:type="gramStart"/>
      <w:r w:rsidRPr="00764F1A">
        <w:t>provision</w:t>
      </w:r>
      <w:proofErr w:type="gramEnd"/>
      <w:r w:rsidRPr="00764F1A">
        <w:t xml:space="preserve"> and the mix of different tenures and products provided through new housing development.</w:t>
      </w:r>
    </w:p>
    <w:p w14:paraId="7C2A976A" w14:textId="600A08C2" w:rsidR="00ED1DB3" w:rsidRPr="00764F1A" w:rsidRDefault="00ED1DB3" w:rsidP="00252C91">
      <w:pPr>
        <w:pStyle w:val="Numberedtext"/>
        <w:jc w:val="both"/>
      </w:pPr>
      <w:r w:rsidRPr="00764F1A">
        <w:t>This chapter has three aims, each given its own sub-section:</w:t>
      </w:r>
    </w:p>
    <w:p w14:paraId="08FFB3D3" w14:textId="77777777" w:rsidR="00ED1DB3" w:rsidRPr="00764F1A" w:rsidRDefault="00ED1DB3" w:rsidP="00252C91">
      <w:pPr>
        <w:pStyle w:val="ListBullet"/>
        <w:jc w:val="both"/>
      </w:pPr>
      <w:r w:rsidRPr="00764F1A">
        <w:t xml:space="preserve">To establish the existing </w:t>
      </w:r>
      <w:r w:rsidRPr="00764F1A">
        <w:rPr>
          <w:b/>
          <w:bCs/>
        </w:rPr>
        <w:t>tenure</w:t>
      </w:r>
      <w:r w:rsidRPr="00764F1A">
        <w:t xml:space="preserve"> of homes within the NA at present (owner occupied, private rented, social/affordable rented, shared ownership</w:t>
      </w:r>
      <w:proofErr w:type="gramStart"/>
      <w:r w:rsidRPr="00764F1A">
        <w:t>);</w:t>
      </w:r>
      <w:proofErr w:type="gramEnd"/>
    </w:p>
    <w:p w14:paraId="54A251EF" w14:textId="77777777" w:rsidR="00ED1DB3" w:rsidRPr="00764F1A" w:rsidRDefault="00ED1DB3" w:rsidP="00252C91">
      <w:pPr>
        <w:pStyle w:val="ListBullet"/>
        <w:jc w:val="both"/>
      </w:pPr>
      <w:r w:rsidRPr="00764F1A">
        <w:t xml:space="preserve">To examine the </w:t>
      </w:r>
      <w:r w:rsidRPr="00764F1A">
        <w:rPr>
          <w:b/>
          <w:bCs/>
        </w:rPr>
        <w:t>affordability</w:t>
      </w:r>
      <w:r w:rsidRPr="00764F1A">
        <w:t xml:space="preserve"> of different tenures by considering house prices, rents, local incomes and earnings; and</w:t>
      </w:r>
    </w:p>
    <w:p w14:paraId="722E2513" w14:textId="77777777" w:rsidR="00ED1DB3" w:rsidRPr="00764F1A" w:rsidRDefault="00ED1DB3" w:rsidP="00252C91">
      <w:pPr>
        <w:pStyle w:val="ListBullet"/>
        <w:jc w:val="both"/>
      </w:pPr>
      <w:r w:rsidRPr="00764F1A">
        <w:t xml:space="preserve">To estimate the scale of </w:t>
      </w:r>
      <w:r w:rsidRPr="00764F1A">
        <w:rPr>
          <w:b/>
          <w:bCs/>
        </w:rPr>
        <w:t>need</w:t>
      </w:r>
      <w:r w:rsidRPr="00764F1A">
        <w:t xml:space="preserve"> for Affordable Housing, including the need for those who cannot afford to rent and those who cannot afford to buy. </w:t>
      </w:r>
    </w:p>
    <w:p w14:paraId="6F512F47" w14:textId="6B592A10" w:rsidR="00ED1DB3" w:rsidRPr="00764F1A" w:rsidRDefault="00ED1DB3" w:rsidP="00252C91">
      <w:pPr>
        <w:pStyle w:val="Numberedtext"/>
        <w:jc w:val="both"/>
      </w:pPr>
      <w:r w:rsidRPr="00764F1A">
        <w:t xml:space="preserve">The evidence gathered here can be used to justify planning policies in the Neighbourhood Plan, but it is likely that other supporting evidence may be needed, for example on viability. Local Plans typically include policies on Affordable Housing and whilst the Neighbourhood Plan must </w:t>
      </w:r>
      <w:r w:rsidR="00030E3E" w:rsidRPr="00764F1A">
        <w:t xml:space="preserve">be in general </w:t>
      </w:r>
      <w:r w:rsidRPr="00764F1A">
        <w:t>conform</w:t>
      </w:r>
      <w:r w:rsidR="00030E3E" w:rsidRPr="00764F1A">
        <w:t>ity</w:t>
      </w:r>
      <w:r w:rsidRPr="00764F1A">
        <w:t xml:space="preserve"> with these </w:t>
      </w:r>
      <w:r w:rsidR="00D92C32" w:rsidRPr="00764F1A">
        <w:t xml:space="preserve">strategic </w:t>
      </w:r>
      <w:r w:rsidRPr="00764F1A">
        <w:t xml:space="preserve">policies, there is scope for Neighbourhood Plan policies to adopt some local variety where this is supported by the evidence. </w:t>
      </w:r>
    </w:p>
    <w:p w14:paraId="7A990AFB" w14:textId="77777777" w:rsidR="008129C3" w:rsidRPr="00764F1A" w:rsidRDefault="008129C3" w:rsidP="00252C91">
      <w:pPr>
        <w:pStyle w:val="Heading3"/>
        <w:jc w:val="both"/>
        <w:rPr>
          <w:color w:val="auto"/>
        </w:rPr>
      </w:pPr>
      <w:bookmarkStart w:id="60" w:name="_Toc31722627"/>
      <w:bookmarkStart w:id="61" w:name="_Toc102731836"/>
      <w:r w:rsidRPr="00764F1A">
        <w:rPr>
          <w:color w:val="auto"/>
        </w:rPr>
        <w:t>Type and Size</w:t>
      </w:r>
      <w:bookmarkEnd w:id="60"/>
      <w:bookmarkEnd w:id="61"/>
      <w:r w:rsidRPr="00764F1A">
        <w:rPr>
          <w:color w:val="auto"/>
        </w:rPr>
        <w:t xml:space="preserve"> </w:t>
      </w:r>
    </w:p>
    <w:p w14:paraId="5750E4C0" w14:textId="77777777" w:rsidR="007E6178" w:rsidRPr="00764F1A" w:rsidRDefault="00875CA0" w:rsidP="00252C91">
      <w:pPr>
        <w:pStyle w:val="Numberedtext"/>
        <w:jc w:val="both"/>
      </w:pPr>
      <w:r w:rsidRPr="00764F1A">
        <w:t xml:space="preserve">It is common for neighbourhood plans to include policies that influence what form new housing should take in terms of type and size. This requires evidence of what local people need. </w:t>
      </w:r>
    </w:p>
    <w:p w14:paraId="442F8072" w14:textId="679EEF58" w:rsidR="00875CA0" w:rsidRPr="00764F1A" w:rsidRDefault="00875CA0" w:rsidP="00252C91">
      <w:pPr>
        <w:pStyle w:val="Numberedtext"/>
        <w:jc w:val="both"/>
      </w:pPr>
      <w:r w:rsidRPr="00764F1A">
        <w:t>The focus of this chapter is to identify relevant trends and potential gaps in the market that can be used to justify planning policies. It has three aims, each given its own sub-section:</w:t>
      </w:r>
    </w:p>
    <w:p w14:paraId="6D5F75B2" w14:textId="5D96D4A7" w:rsidR="00875CA0" w:rsidRPr="00764F1A" w:rsidRDefault="00875CA0" w:rsidP="00252C91">
      <w:pPr>
        <w:pStyle w:val="ListBullet"/>
        <w:jc w:val="both"/>
      </w:pPr>
      <w:r w:rsidRPr="00764F1A">
        <w:t xml:space="preserve">To establish what </w:t>
      </w:r>
      <w:r w:rsidRPr="00764F1A">
        <w:rPr>
          <w:b/>
          <w:bCs/>
        </w:rPr>
        <w:t xml:space="preserve">mix </w:t>
      </w:r>
      <w:r w:rsidRPr="00764F1A">
        <w:t xml:space="preserve">of housing exists in the NA at </w:t>
      </w:r>
      <w:proofErr w:type="gramStart"/>
      <w:r w:rsidRPr="00764F1A">
        <w:t>present;</w:t>
      </w:r>
      <w:proofErr w:type="gramEnd"/>
    </w:p>
    <w:p w14:paraId="0233172B" w14:textId="27502A19" w:rsidR="00875CA0" w:rsidRPr="00764F1A" w:rsidRDefault="00875CA0" w:rsidP="00252C91">
      <w:pPr>
        <w:pStyle w:val="ListBullet"/>
        <w:jc w:val="both"/>
      </w:pPr>
      <w:r w:rsidRPr="00764F1A">
        <w:t xml:space="preserve">To describe relevant characteristics of the local </w:t>
      </w:r>
      <w:r w:rsidRPr="00764F1A">
        <w:rPr>
          <w:b/>
          <w:bCs/>
        </w:rPr>
        <w:t>population</w:t>
      </w:r>
      <w:r w:rsidRPr="00764F1A">
        <w:t>; and</w:t>
      </w:r>
    </w:p>
    <w:p w14:paraId="7D0C7681" w14:textId="77777777" w:rsidR="00875CA0" w:rsidRPr="00764F1A" w:rsidRDefault="00875CA0" w:rsidP="00252C91">
      <w:pPr>
        <w:pStyle w:val="ListBullet"/>
        <w:jc w:val="both"/>
      </w:pPr>
      <w:r w:rsidRPr="00764F1A">
        <w:t xml:space="preserve">To look to the </w:t>
      </w:r>
      <w:r w:rsidRPr="00764F1A">
        <w:rPr>
          <w:b/>
          <w:bCs/>
        </w:rPr>
        <w:t>future</w:t>
      </w:r>
      <w:r w:rsidRPr="00764F1A">
        <w:t>, considering how the population is likely to evolve and what mix of homes would be most appropriate to build.</w:t>
      </w:r>
    </w:p>
    <w:p w14:paraId="2BA9BA94" w14:textId="263637F9" w:rsidR="00875CA0" w:rsidRPr="00764F1A" w:rsidRDefault="00875CA0" w:rsidP="00252C91">
      <w:pPr>
        <w:pStyle w:val="Numberedtext"/>
        <w:jc w:val="both"/>
      </w:pPr>
      <w:r w:rsidRPr="00764F1A">
        <w:lastRenderedPageBreak/>
        <w:t xml:space="preserve">In addition to the direction of travel revealed by statistics, a variety of reasons sit behind people’s housing choices that are less easy to predict, including wealth, accessibility requirements and personal preference. The conclusions and recommendations given here are sufficient for justifying planning policies but are not definitive. It is also appropriate to </w:t>
      </w:r>
      <w:proofErr w:type="gramStart"/>
      <w:r w:rsidRPr="00764F1A">
        <w:t>take into account</w:t>
      </w:r>
      <w:proofErr w:type="gramEnd"/>
      <w:r w:rsidRPr="00764F1A">
        <w:t xml:space="preserve"> other factors and evidence if desired.   </w:t>
      </w:r>
    </w:p>
    <w:p w14:paraId="37964A2D" w14:textId="77777777" w:rsidR="008129C3" w:rsidRPr="00764F1A" w:rsidRDefault="008129C3" w:rsidP="00252C91">
      <w:pPr>
        <w:pStyle w:val="Heading3"/>
        <w:jc w:val="both"/>
        <w:rPr>
          <w:color w:val="auto"/>
        </w:rPr>
      </w:pPr>
      <w:bookmarkStart w:id="62" w:name="_Toc31722628"/>
      <w:bookmarkStart w:id="63" w:name="_Toc102731837"/>
      <w:r w:rsidRPr="00764F1A">
        <w:rPr>
          <w:color w:val="auto"/>
        </w:rPr>
        <w:t>Specialist Housing for Older People</w:t>
      </w:r>
      <w:bookmarkEnd w:id="62"/>
      <w:bookmarkEnd w:id="63"/>
    </w:p>
    <w:p w14:paraId="5041A929" w14:textId="77777777" w:rsidR="007E6178" w:rsidRPr="00764F1A" w:rsidRDefault="00875CA0" w:rsidP="00252C91">
      <w:pPr>
        <w:pStyle w:val="Numberedtext"/>
        <w:jc w:val="both"/>
      </w:pPr>
      <w:bookmarkStart w:id="64" w:name="_Hlk118731490"/>
      <w:r w:rsidRPr="00764F1A">
        <w:t>It may be appropriate for neighbourhood plans in areas with aging populations to include policies relating to specialist housing for older persons.</w:t>
      </w:r>
    </w:p>
    <w:p w14:paraId="7DC13DD2" w14:textId="4CB17E28" w:rsidR="00875CA0" w:rsidRPr="00764F1A" w:rsidRDefault="008129C3" w:rsidP="00252C91">
      <w:pPr>
        <w:pStyle w:val="Numberedtext"/>
        <w:jc w:val="both"/>
      </w:pPr>
      <w:r w:rsidRPr="00764F1A">
        <w:t>This chapter supplements the demographic evidence relating to Type and Size, including the potential demand for downsizing, to consider the quantity and characteristics of need for housing for older people with some form of additional care.</w:t>
      </w:r>
      <w:r w:rsidR="00DE3D5E" w:rsidRPr="00764F1A">
        <w:t xml:space="preserve"> </w:t>
      </w:r>
      <w:r w:rsidR="00875CA0" w:rsidRPr="00764F1A">
        <w:t>Its approach is as follows:</w:t>
      </w:r>
    </w:p>
    <w:p w14:paraId="09459D0F" w14:textId="0A03FE02" w:rsidR="00875CA0" w:rsidRPr="00764F1A" w:rsidRDefault="00875CA0" w:rsidP="00252C91">
      <w:pPr>
        <w:pStyle w:val="ListBullet"/>
        <w:jc w:val="both"/>
      </w:pPr>
      <w:r w:rsidRPr="00764F1A">
        <w:t xml:space="preserve">To review the </w:t>
      </w:r>
      <w:r w:rsidRPr="00764F1A">
        <w:rPr>
          <w:b/>
          <w:bCs/>
        </w:rPr>
        <w:t>current provision</w:t>
      </w:r>
      <w:r w:rsidRPr="00764F1A">
        <w:t xml:space="preserve"> of specialist housing</w:t>
      </w:r>
      <w:r w:rsidR="00DE3D5E" w:rsidRPr="00764F1A">
        <w:t xml:space="preserve"> in the </w:t>
      </w:r>
      <w:proofErr w:type="gramStart"/>
      <w:r w:rsidR="00DE3D5E" w:rsidRPr="00764F1A">
        <w:t>NA</w:t>
      </w:r>
      <w:r w:rsidRPr="00764F1A">
        <w:t>;</w:t>
      </w:r>
      <w:proofErr w:type="gramEnd"/>
    </w:p>
    <w:p w14:paraId="68AF10BA" w14:textId="69230CA3" w:rsidR="00875CA0" w:rsidRPr="00764F1A" w:rsidRDefault="00875CA0" w:rsidP="00252C91">
      <w:pPr>
        <w:pStyle w:val="ListBullet"/>
        <w:jc w:val="both"/>
      </w:pPr>
      <w:r w:rsidRPr="00764F1A">
        <w:t xml:space="preserve">To </w:t>
      </w:r>
      <w:r w:rsidR="00DE3D5E" w:rsidRPr="00764F1A">
        <w:t xml:space="preserve">estimate the </w:t>
      </w:r>
      <w:r w:rsidR="00DE3D5E" w:rsidRPr="00764F1A">
        <w:rPr>
          <w:b/>
          <w:bCs/>
        </w:rPr>
        <w:t>potential demand</w:t>
      </w:r>
      <w:r w:rsidR="00DE3D5E" w:rsidRPr="00764F1A">
        <w:t xml:space="preserve"> for this form of accommodation with reference to the </w:t>
      </w:r>
      <w:r w:rsidRPr="00764F1A">
        <w:t>project</w:t>
      </w:r>
      <w:r w:rsidR="00DE3D5E" w:rsidRPr="00764F1A">
        <w:t>ed</w:t>
      </w:r>
      <w:r w:rsidRPr="00764F1A">
        <w:t xml:space="preserve"> growth in the older population and </w:t>
      </w:r>
      <w:r w:rsidR="00DE3D5E" w:rsidRPr="00764F1A">
        <w:t>current</w:t>
      </w:r>
      <w:r w:rsidRPr="00764F1A">
        <w:t xml:space="preserve"> rates of mobility limitation;</w:t>
      </w:r>
      <w:r w:rsidR="00DE3D5E" w:rsidRPr="00764F1A">
        <w:t xml:space="preserve"> and</w:t>
      </w:r>
    </w:p>
    <w:p w14:paraId="3AAB16C9" w14:textId="60063501" w:rsidR="00875CA0" w:rsidRPr="00764F1A" w:rsidRDefault="00875CA0" w:rsidP="00252C91">
      <w:pPr>
        <w:pStyle w:val="ListBullet"/>
        <w:jc w:val="both"/>
      </w:pPr>
      <w:r w:rsidRPr="00764F1A">
        <w:t xml:space="preserve">To </w:t>
      </w:r>
      <w:r w:rsidR="00DE3D5E" w:rsidRPr="00764F1A">
        <w:t xml:space="preserve">discuss the potential for meeting this need through adaptations to the mainstream stock and other </w:t>
      </w:r>
      <w:r w:rsidR="00DE3D5E" w:rsidRPr="00764F1A">
        <w:rPr>
          <w:b/>
          <w:bCs/>
        </w:rPr>
        <w:t>additional considerations</w:t>
      </w:r>
      <w:r w:rsidR="00DE3D5E" w:rsidRPr="00764F1A">
        <w:t>.</w:t>
      </w:r>
    </w:p>
    <w:p w14:paraId="38230F3E" w14:textId="25B7F9C5" w:rsidR="00875CA0" w:rsidRPr="00764F1A" w:rsidRDefault="00DE3D5E" w:rsidP="00252C91">
      <w:pPr>
        <w:pStyle w:val="Numberedtext"/>
        <w:jc w:val="both"/>
      </w:pPr>
      <w:r w:rsidRPr="00764F1A">
        <w:t xml:space="preserve">This element of the HNA </w:t>
      </w:r>
      <w:proofErr w:type="spellStart"/>
      <w:r w:rsidR="00875CA0" w:rsidRPr="00764F1A">
        <w:t>recognises</w:t>
      </w:r>
      <w:proofErr w:type="spellEnd"/>
      <w:r w:rsidR="00875CA0" w:rsidRPr="00764F1A">
        <w:t xml:space="preserve"> that </w:t>
      </w:r>
      <w:proofErr w:type="gramStart"/>
      <w:r w:rsidR="00875CA0" w:rsidRPr="00764F1A">
        <w:t>the majority of</w:t>
      </w:r>
      <w:proofErr w:type="gramEnd"/>
      <w:r w:rsidR="00875CA0" w:rsidRPr="00764F1A">
        <w:t xml:space="preserve"> older people will live in the mainstream housing stock</w:t>
      </w:r>
      <w:r w:rsidRPr="00764F1A">
        <w:t xml:space="preserve"> and that there is no single way to meet their needs</w:t>
      </w:r>
      <w:r w:rsidR="00875CA0" w:rsidRPr="00764F1A">
        <w:t>.</w:t>
      </w:r>
      <w:r w:rsidRPr="00764F1A">
        <w:t xml:space="preserve"> It may also be inappropriate to focus excessively on the needs of one group or to promote a specialist scheme in a location that lacks adequate services. These issues will be drawn out. </w:t>
      </w:r>
    </w:p>
    <w:bookmarkEnd w:id="64"/>
    <w:p w14:paraId="04F091C0" w14:textId="5DFB26F5" w:rsidR="008129C3" w:rsidRPr="00764F1A" w:rsidRDefault="00513132" w:rsidP="00252C91">
      <w:pPr>
        <w:pStyle w:val="Heading2"/>
        <w:jc w:val="both"/>
        <w:rPr>
          <w:color w:val="auto"/>
        </w:rPr>
      </w:pPr>
      <w:r w:rsidRPr="00764F1A">
        <w:rPr>
          <w:color w:val="auto"/>
        </w:rPr>
        <w:t>Approach</w:t>
      </w:r>
    </w:p>
    <w:p w14:paraId="1C1414D8" w14:textId="2EFCE6EC" w:rsidR="008129C3" w:rsidRPr="00764F1A" w:rsidRDefault="008129C3" w:rsidP="00252C91">
      <w:pPr>
        <w:pStyle w:val="Numberedtext"/>
        <w:jc w:val="both"/>
      </w:pPr>
      <w:bookmarkStart w:id="65" w:name="_Toc533017413"/>
      <w:bookmarkStart w:id="66" w:name="_Toc536797425"/>
      <w:r w:rsidRPr="00764F1A">
        <w:t xml:space="preserve">This HNA assesses a range of evidence to ensure its findings are robust for the purposes of developing policy at the </w:t>
      </w:r>
      <w:r w:rsidR="00513132" w:rsidRPr="00764F1A">
        <w:t>n</w:t>
      </w:r>
      <w:r w:rsidRPr="00764F1A">
        <w:t xml:space="preserve">eighbourhood </w:t>
      </w:r>
      <w:r w:rsidR="00513132" w:rsidRPr="00764F1A">
        <w:t>p</w:t>
      </w:r>
      <w:r w:rsidRPr="00764F1A">
        <w:t xml:space="preserve">lan level. This includes data from </w:t>
      </w:r>
      <w:r w:rsidR="00513132" w:rsidRPr="00764F1A">
        <w:t>the 20</w:t>
      </w:r>
      <w:r w:rsidR="00236D91" w:rsidRPr="00764F1A">
        <w:t>2</w:t>
      </w:r>
      <w:r w:rsidR="00513132" w:rsidRPr="00764F1A">
        <w:t>1</w:t>
      </w:r>
      <w:r w:rsidR="00236D91" w:rsidRPr="00764F1A">
        <w:t xml:space="preserve"> and 2011</w:t>
      </w:r>
      <w:r w:rsidR="00513132" w:rsidRPr="00764F1A">
        <w:t xml:space="preserve"> Census</w:t>
      </w:r>
      <w:r w:rsidR="00236D91" w:rsidRPr="00764F1A">
        <w:t>es</w:t>
      </w:r>
      <w:r w:rsidR="00513132" w:rsidRPr="00764F1A">
        <w:t xml:space="preserve"> and </w:t>
      </w:r>
      <w:r w:rsidRPr="00764F1A">
        <w:t>a range of other data sources, including:</w:t>
      </w:r>
    </w:p>
    <w:p w14:paraId="79556BC7" w14:textId="77777777" w:rsidR="008129C3" w:rsidRPr="00764F1A" w:rsidRDefault="008129C3" w:rsidP="00252C91">
      <w:pPr>
        <w:pStyle w:val="ListBullet"/>
        <w:jc w:val="both"/>
      </w:pPr>
      <w:r w:rsidRPr="00764F1A">
        <w:t xml:space="preserve">ONS population and household projections for future </w:t>
      </w:r>
      <w:proofErr w:type="gramStart"/>
      <w:r w:rsidRPr="00764F1A">
        <w:t>years;</w:t>
      </w:r>
      <w:proofErr w:type="gramEnd"/>
    </w:p>
    <w:p w14:paraId="5D149BB1" w14:textId="77777777" w:rsidR="008129C3" w:rsidRPr="00764F1A" w:rsidRDefault="008129C3" w:rsidP="00252C91">
      <w:pPr>
        <w:pStyle w:val="ListBullet"/>
        <w:jc w:val="both"/>
      </w:pPr>
      <w:r w:rsidRPr="00764F1A">
        <w:t xml:space="preserve">Valuation Office Agency (VOA) data on the current stock of </w:t>
      </w:r>
      <w:proofErr w:type="gramStart"/>
      <w:r w:rsidRPr="00764F1A">
        <w:t>housing;</w:t>
      </w:r>
      <w:proofErr w:type="gramEnd"/>
    </w:p>
    <w:p w14:paraId="7AA5AC70" w14:textId="77777777" w:rsidR="008129C3" w:rsidRPr="00EF54A3" w:rsidRDefault="008129C3" w:rsidP="00252C91">
      <w:pPr>
        <w:pStyle w:val="ListBullet"/>
        <w:jc w:val="both"/>
      </w:pPr>
      <w:r w:rsidRPr="00764F1A">
        <w:t xml:space="preserve">Land Registry data on </w:t>
      </w:r>
      <w:r w:rsidRPr="00EF54A3">
        <w:t xml:space="preserve">prices paid for housing within the local </w:t>
      </w:r>
      <w:proofErr w:type="gramStart"/>
      <w:r w:rsidRPr="00EF54A3">
        <w:t>market;</w:t>
      </w:r>
      <w:proofErr w:type="gramEnd"/>
    </w:p>
    <w:p w14:paraId="40D54E68" w14:textId="2DCF906F" w:rsidR="008129C3" w:rsidRPr="00EF54A3" w:rsidRDefault="008129C3" w:rsidP="00252C91">
      <w:pPr>
        <w:pStyle w:val="ListBullet"/>
        <w:jc w:val="both"/>
      </w:pPr>
      <w:r w:rsidRPr="00EF54A3">
        <w:t xml:space="preserve">Rental prices from </w:t>
      </w:r>
      <w:proofErr w:type="gramStart"/>
      <w:r w:rsidR="00513132" w:rsidRPr="00EF54A3">
        <w:t>Rightmove</w:t>
      </w:r>
      <w:r w:rsidR="00547858" w:rsidRPr="00EF54A3">
        <w:t>.com</w:t>
      </w:r>
      <w:r w:rsidRPr="00EF54A3">
        <w:t>;</w:t>
      </w:r>
      <w:proofErr w:type="gramEnd"/>
      <w:r w:rsidRPr="00EF54A3">
        <w:t xml:space="preserve"> </w:t>
      </w:r>
    </w:p>
    <w:p w14:paraId="522DC03A" w14:textId="77777777" w:rsidR="008129C3" w:rsidRPr="00EF54A3" w:rsidRDefault="008129C3" w:rsidP="00252C91">
      <w:pPr>
        <w:pStyle w:val="ListBullet"/>
        <w:jc w:val="both"/>
      </w:pPr>
      <w:r w:rsidRPr="00EF54A3">
        <w:t>Local Authority housing waiting list data; and</w:t>
      </w:r>
    </w:p>
    <w:p w14:paraId="78D2ABF0" w14:textId="2004A03B" w:rsidR="00547858" w:rsidRPr="00764F1A" w:rsidRDefault="00EF54A3" w:rsidP="00252C91">
      <w:pPr>
        <w:pStyle w:val="ListBullet"/>
        <w:jc w:val="both"/>
      </w:pPr>
      <w:r w:rsidRPr="00EF54A3">
        <w:t>County Durham Strategic Housing Market Assessment</w:t>
      </w:r>
      <w:r>
        <w:t xml:space="preserve"> (2018).</w:t>
      </w:r>
    </w:p>
    <w:p w14:paraId="2BC1EC69" w14:textId="0F089ECE" w:rsidR="00513132" w:rsidRPr="00764F1A" w:rsidRDefault="000365EA" w:rsidP="00252C91">
      <w:pPr>
        <w:pStyle w:val="Numberedtext"/>
        <w:jc w:val="both"/>
      </w:pPr>
      <w:bookmarkStart w:id="67" w:name="_Toc425332018"/>
      <w:bookmarkEnd w:id="65"/>
      <w:bookmarkEnd w:id="66"/>
      <w:r w:rsidRPr="00764F1A">
        <w:t xml:space="preserve">Data from the 2021 Census </w:t>
      </w:r>
      <w:r w:rsidR="00236D91" w:rsidRPr="00764F1A">
        <w:t>continues to be</w:t>
      </w:r>
      <w:r w:rsidRPr="00764F1A">
        <w:t xml:space="preserve"> released. At present, the available data covers populatio</w:t>
      </w:r>
      <w:r w:rsidR="00BE0306" w:rsidRPr="00764F1A">
        <w:t>n</w:t>
      </w:r>
      <w:r w:rsidRPr="00764F1A">
        <w:t xml:space="preserve">, households, tenure, and dwelling stock characteristics. Some data at the </w:t>
      </w:r>
      <w:proofErr w:type="spellStart"/>
      <w:r w:rsidRPr="00764F1A">
        <w:t>localised</w:t>
      </w:r>
      <w:proofErr w:type="spellEnd"/>
      <w:r w:rsidRPr="00764F1A">
        <w:t xml:space="preserve"> level, including parishes, will not be available until later in 202</w:t>
      </w:r>
      <w:r w:rsidR="001535B8" w:rsidRPr="00764F1A">
        <w:t>4</w:t>
      </w:r>
      <w:r w:rsidRPr="00764F1A">
        <w:t xml:space="preserve">, as well as data comparing numerous variables. As such, neighbourhood level HNAs will </w:t>
      </w:r>
      <w:r w:rsidRPr="00764F1A">
        <w:lastRenderedPageBreak/>
        <w:t xml:space="preserve">draw on the latest available data from the 2021 Census where possible and will also continue to use other data sets, including 2011 Census, Valuation Office Agency data, and ONS parish projections to build up evidence at the neighbourhood level. </w:t>
      </w:r>
      <w:bookmarkStart w:id="68" w:name="_Toc31722635"/>
      <w:bookmarkStart w:id="69" w:name="_Toc102731844"/>
      <w:bookmarkStart w:id="70" w:name="_Toc2690283"/>
      <w:bookmarkStart w:id="71" w:name="_Toc425332020"/>
      <w:bookmarkStart w:id="72" w:name="_Toc461696227"/>
      <w:bookmarkEnd w:id="57"/>
      <w:bookmarkEnd w:id="67"/>
      <w:r w:rsidR="00513132" w:rsidRPr="00764F1A">
        <w:br w:type="page"/>
      </w:r>
    </w:p>
    <w:p w14:paraId="30461044" w14:textId="7B4424C3" w:rsidR="008129C3" w:rsidRPr="00764F1A" w:rsidRDefault="008129C3" w:rsidP="00252C91">
      <w:pPr>
        <w:pStyle w:val="Heading1"/>
        <w:jc w:val="both"/>
        <w:rPr>
          <w:color w:val="auto"/>
        </w:rPr>
      </w:pPr>
      <w:bookmarkStart w:id="73" w:name="_Toc31722641"/>
      <w:bookmarkStart w:id="74" w:name="_Toc102731850"/>
      <w:bookmarkStart w:id="75" w:name="_Toc170398387"/>
      <w:bookmarkStart w:id="76" w:name="_Toc185339912"/>
      <w:bookmarkEnd w:id="68"/>
      <w:bookmarkEnd w:id="69"/>
      <w:r w:rsidRPr="00764F1A">
        <w:rPr>
          <w:color w:val="auto"/>
        </w:rPr>
        <w:lastRenderedPageBreak/>
        <w:t>Affordability</w:t>
      </w:r>
      <w:bookmarkEnd w:id="73"/>
      <w:r w:rsidRPr="00764F1A">
        <w:rPr>
          <w:color w:val="auto"/>
        </w:rPr>
        <w:t xml:space="preserve"> and Affordable Housing</w:t>
      </w:r>
      <w:bookmarkEnd w:id="74"/>
      <w:bookmarkEnd w:id="75"/>
      <w:bookmarkEnd w:id="76"/>
    </w:p>
    <w:p w14:paraId="02B94C5B" w14:textId="77777777" w:rsidR="008129C3" w:rsidRPr="00764F1A" w:rsidRDefault="008129C3" w:rsidP="00252C91">
      <w:pPr>
        <w:pStyle w:val="Heading2"/>
        <w:jc w:val="both"/>
        <w:rPr>
          <w:color w:val="auto"/>
        </w:rPr>
      </w:pPr>
      <w:bookmarkStart w:id="77" w:name="_Toc31722642"/>
      <w:bookmarkStart w:id="78" w:name="_Toc102731851"/>
      <w:bookmarkStart w:id="79" w:name="_Toc500759108"/>
      <w:bookmarkStart w:id="80" w:name="_Hlk21428552"/>
      <w:r w:rsidRPr="00764F1A">
        <w:rPr>
          <w:color w:val="auto"/>
        </w:rPr>
        <w:t>Introduction</w:t>
      </w:r>
      <w:bookmarkEnd w:id="77"/>
      <w:bookmarkEnd w:id="78"/>
    </w:p>
    <w:p w14:paraId="09C8AB15" w14:textId="77777777" w:rsidR="00290C33" w:rsidRPr="00764F1A" w:rsidRDefault="00CC107E" w:rsidP="00252C91">
      <w:pPr>
        <w:pStyle w:val="Numberedtext"/>
        <w:jc w:val="both"/>
      </w:pPr>
      <w:r w:rsidRPr="00764F1A">
        <w:t xml:space="preserve">Neighbourhood plans may include policies that influence the scale of Affordable Housing </w:t>
      </w:r>
      <w:proofErr w:type="gramStart"/>
      <w:r w:rsidRPr="00764F1A">
        <w:t>provision</w:t>
      </w:r>
      <w:proofErr w:type="gramEnd"/>
      <w:r w:rsidRPr="00764F1A">
        <w:t xml:space="preserve"> and the mix of different tenures and products provided through new housing development</w:t>
      </w:r>
      <w:r w:rsidR="00290C33" w:rsidRPr="00764F1A">
        <w:t>.</w:t>
      </w:r>
    </w:p>
    <w:p w14:paraId="3642C262" w14:textId="303C0641" w:rsidR="00CC107E" w:rsidRPr="00764F1A" w:rsidRDefault="00CC107E" w:rsidP="00252C91">
      <w:pPr>
        <w:pStyle w:val="Numberedtext"/>
        <w:jc w:val="both"/>
      </w:pPr>
      <w:r w:rsidRPr="00764F1A">
        <w:t>This chapter has three aims, each given its own sub-section:</w:t>
      </w:r>
    </w:p>
    <w:p w14:paraId="3A27F20F" w14:textId="77777777" w:rsidR="00CC107E" w:rsidRPr="00764F1A" w:rsidRDefault="00CC107E" w:rsidP="00252C91">
      <w:pPr>
        <w:pStyle w:val="ListNumber"/>
        <w:numPr>
          <w:ilvl w:val="0"/>
          <w:numId w:val="31"/>
        </w:numPr>
        <w:spacing w:line="276" w:lineRule="auto"/>
        <w:ind w:left="1049"/>
        <w:jc w:val="both"/>
      </w:pPr>
      <w:r w:rsidRPr="00764F1A">
        <w:t xml:space="preserve">To establish the existing </w:t>
      </w:r>
      <w:r w:rsidRPr="00764F1A">
        <w:rPr>
          <w:b/>
          <w:bCs/>
        </w:rPr>
        <w:t>tenure</w:t>
      </w:r>
      <w:r w:rsidRPr="00764F1A">
        <w:t xml:space="preserve"> of homes within the NA at present (owner occupied, private rented, social/affordable rented, shared ownership</w:t>
      </w:r>
      <w:proofErr w:type="gramStart"/>
      <w:r w:rsidRPr="00764F1A">
        <w:t>);</w:t>
      </w:r>
      <w:proofErr w:type="gramEnd"/>
    </w:p>
    <w:p w14:paraId="297DF5BA" w14:textId="77777777" w:rsidR="00CC107E" w:rsidRPr="00764F1A" w:rsidRDefault="00CC107E" w:rsidP="00252C91">
      <w:pPr>
        <w:pStyle w:val="ListNumber"/>
        <w:numPr>
          <w:ilvl w:val="0"/>
          <w:numId w:val="31"/>
        </w:numPr>
        <w:spacing w:line="276" w:lineRule="auto"/>
        <w:ind w:left="1049"/>
        <w:jc w:val="both"/>
      </w:pPr>
      <w:r w:rsidRPr="00764F1A">
        <w:t xml:space="preserve">To examine the </w:t>
      </w:r>
      <w:r w:rsidRPr="00764F1A">
        <w:rPr>
          <w:b/>
          <w:bCs/>
        </w:rPr>
        <w:t>affordability</w:t>
      </w:r>
      <w:r w:rsidRPr="00764F1A">
        <w:t xml:space="preserve"> of different tenures by considering house prices, rents, local incomes and earnings; and</w:t>
      </w:r>
    </w:p>
    <w:p w14:paraId="6048B6F6" w14:textId="77777777" w:rsidR="00CC107E" w:rsidRPr="00764F1A" w:rsidRDefault="00CC107E" w:rsidP="00252C91">
      <w:pPr>
        <w:pStyle w:val="ListNumber"/>
        <w:numPr>
          <w:ilvl w:val="0"/>
          <w:numId w:val="31"/>
        </w:numPr>
        <w:spacing w:line="276" w:lineRule="auto"/>
        <w:ind w:left="1049"/>
        <w:jc w:val="both"/>
      </w:pPr>
      <w:r w:rsidRPr="00764F1A">
        <w:t xml:space="preserve">To estimate the scale of </w:t>
      </w:r>
      <w:r w:rsidRPr="00764F1A">
        <w:rPr>
          <w:b/>
          <w:bCs/>
        </w:rPr>
        <w:t>need</w:t>
      </w:r>
      <w:r w:rsidRPr="00764F1A">
        <w:t xml:space="preserve"> for Affordable Housing, including the need for those who cannot afford to rent and those who cannot afford to buy. </w:t>
      </w:r>
    </w:p>
    <w:p w14:paraId="609FE5C4" w14:textId="67BE5C37" w:rsidR="00CC107E" w:rsidRDefault="00CC107E" w:rsidP="00252C91">
      <w:pPr>
        <w:pStyle w:val="Numberedtext"/>
        <w:jc w:val="both"/>
      </w:pPr>
      <w:r w:rsidRPr="00764F1A">
        <w:t xml:space="preserve">The evidence gathered here can be used to justify planning policies in the Neighbourhood Plan, but it is likely that other supporting evidence may be needed, for example on viability. Local Plans typically include policies on Affordable Housing and whilst the Neighbourhood Plan must conform with these policies, there is scope for Neighbourhood Plan policies to adopt some local variety where this is supported by the evidence. </w:t>
      </w:r>
    </w:p>
    <w:p w14:paraId="08E1DC52" w14:textId="206B209E" w:rsidR="008A45D2" w:rsidRPr="008A45D2" w:rsidRDefault="008A45D2" w:rsidP="008A45D2">
      <w:pPr>
        <w:pStyle w:val="Numberedtext"/>
        <w:jc w:val="both"/>
      </w:pPr>
      <w:r w:rsidRPr="00434C10">
        <w:t xml:space="preserve">This HNA has been undertaken in line with the National Planning Policy Framework (NPPF) and Planning Practice Guidance (PPG) (published 2024). </w:t>
      </w:r>
    </w:p>
    <w:p w14:paraId="713E6758" w14:textId="77777777" w:rsidR="00CC107E" w:rsidRPr="00764F1A" w:rsidRDefault="00CC107E" w:rsidP="00252C91">
      <w:pPr>
        <w:pStyle w:val="Heading2"/>
        <w:jc w:val="both"/>
        <w:rPr>
          <w:color w:val="auto"/>
        </w:rPr>
      </w:pPr>
      <w:r w:rsidRPr="00764F1A">
        <w:rPr>
          <w:color w:val="auto"/>
        </w:rPr>
        <w:t>Definitions</w:t>
      </w:r>
    </w:p>
    <w:p w14:paraId="020F7E54" w14:textId="6634FFBB" w:rsidR="00CC107E" w:rsidRPr="00764F1A" w:rsidRDefault="00CC107E" w:rsidP="00252C91">
      <w:pPr>
        <w:pStyle w:val="Numberedtext"/>
        <w:jc w:val="both"/>
      </w:pPr>
      <w:r w:rsidRPr="00764F1A">
        <w:t>This section uses a range of technical terms which are useful to define at the outset:</w:t>
      </w:r>
    </w:p>
    <w:p w14:paraId="276E0A99" w14:textId="77777777" w:rsidR="00CC107E" w:rsidRPr="00764F1A" w:rsidRDefault="00CC107E" w:rsidP="00252C91">
      <w:pPr>
        <w:pStyle w:val="ListBullet"/>
        <w:jc w:val="both"/>
        <w:rPr>
          <w:lang w:val="en-US"/>
        </w:rPr>
      </w:pPr>
      <w:r w:rsidRPr="00764F1A">
        <w:rPr>
          <w:b/>
          <w:bCs/>
          <w:lang w:val="en-US"/>
        </w:rPr>
        <w:t>Tenure</w:t>
      </w:r>
      <w:r w:rsidRPr="00764F1A">
        <w:rPr>
          <w:lang w:val="en-US"/>
        </w:rPr>
        <w:t xml:space="preserve"> refers to the way a household occupies their home. Broadly speaking, there are two categories of tenure: market housing (such as homes available to purchase outright or rent from a private landlord) and Affordable Housing (including subsidised products like social rent and shared ownership). </w:t>
      </w:r>
    </w:p>
    <w:p w14:paraId="43995E42" w14:textId="77777777" w:rsidR="00CC107E" w:rsidRPr="00764F1A" w:rsidRDefault="00CC107E" w:rsidP="00252C91">
      <w:pPr>
        <w:pStyle w:val="ListBullet"/>
        <w:jc w:val="both"/>
        <w:rPr>
          <w:lang w:val="en-US"/>
        </w:rPr>
      </w:pPr>
      <w:r w:rsidRPr="00764F1A">
        <w:rPr>
          <w:b/>
          <w:bCs/>
          <w:lang w:val="en-US"/>
        </w:rPr>
        <w:t>Affordability</w:t>
      </w:r>
      <w:r w:rsidRPr="00764F1A">
        <w:rPr>
          <w:lang w:val="en-US"/>
        </w:rPr>
        <w:t xml:space="preserve"> refers to the relationship between the cost of housing to buy or rent and the incomes and earnings of households. </w:t>
      </w:r>
    </w:p>
    <w:p w14:paraId="1EC664E1" w14:textId="77777777" w:rsidR="00692140" w:rsidRPr="00434C10" w:rsidRDefault="00692140" w:rsidP="00692140">
      <w:pPr>
        <w:pStyle w:val="ListBullet"/>
        <w:jc w:val="both"/>
        <w:rPr>
          <w:lang w:val="en-US"/>
        </w:rPr>
      </w:pPr>
      <w:r w:rsidRPr="00434C10">
        <w:rPr>
          <w:lang w:val="en-US"/>
        </w:rPr>
        <w:t xml:space="preserve">The definition of </w:t>
      </w:r>
      <w:r w:rsidRPr="00434C10">
        <w:rPr>
          <w:b/>
          <w:bCs/>
          <w:lang w:val="en-US"/>
        </w:rPr>
        <w:t>Affordable Housing</w:t>
      </w:r>
      <w:r w:rsidRPr="00434C10">
        <w:rPr>
          <w:lang w:val="en-US"/>
        </w:rPr>
        <w:t xml:space="preserve"> is set out in the NPPF 2024 (Annex 2) as ‘</w:t>
      </w:r>
      <w:r w:rsidRPr="00434C10">
        <w:t xml:space="preserve">Housing for sale or rent, for those whose needs are not met by the market…’ </w:t>
      </w:r>
      <w:r w:rsidRPr="00434C10">
        <w:rPr>
          <w:lang w:val="en-US"/>
        </w:rPr>
        <w:t xml:space="preserve">We refer to Affordable Housing, with capital letters, to denote the specific tenures that are classified as affordable in the NPPF (Annex 2). A relatively less expensive home for market sale may be affordable but it is not a form of Affordable Housing. </w:t>
      </w:r>
    </w:p>
    <w:p w14:paraId="3C18BE9D" w14:textId="77777777" w:rsidR="00692140" w:rsidRPr="00434C10" w:rsidRDefault="00692140" w:rsidP="00692140">
      <w:pPr>
        <w:pStyle w:val="ListBullet"/>
        <w:jc w:val="both"/>
        <w:rPr>
          <w:lang w:val="en-US"/>
        </w:rPr>
      </w:pPr>
      <w:r w:rsidRPr="00434C10">
        <w:rPr>
          <w:lang w:val="en-US"/>
        </w:rPr>
        <w:t xml:space="preserve">A range of affordable home ownership products are included in the Government’s definition of Affordable Housing, to meet the needs of those aspiring to own a home. This includes discounted market sales housing and other affordable routes to home ownership (shared ownership, rent to buy etc) which are defined in Annex 2. First Homes are also part of the range of affordable home ownership products, </w:t>
      </w:r>
      <w:r w:rsidRPr="00434C10">
        <w:rPr>
          <w:lang w:val="en-US"/>
        </w:rPr>
        <w:lastRenderedPageBreak/>
        <w:t>but the definition of First Homes and policy is covered in a Ministerial Statement (2021) and not defined in Annex 2.</w:t>
      </w:r>
      <w:r w:rsidRPr="00434C10">
        <w:rPr>
          <w:rStyle w:val="FootnoteReference"/>
          <w:lang w:val="en-US"/>
        </w:rPr>
        <w:footnoteReference w:id="7"/>
      </w:r>
    </w:p>
    <w:bookmarkEnd w:id="79"/>
    <w:bookmarkEnd w:id="80"/>
    <w:p w14:paraId="1EECA627" w14:textId="3662294F" w:rsidR="008129C3" w:rsidRPr="00764F1A" w:rsidRDefault="006C080B" w:rsidP="00252C91">
      <w:pPr>
        <w:pStyle w:val="Heading2"/>
        <w:jc w:val="both"/>
        <w:rPr>
          <w:color w:val="auto"/>
        </w:rPr>
      </w:pPr>
      <w:r w:rsidRPr="00764F1A">
        <w:rPr>
          <w:color w:val="auto"/>
        </w:rPr>
        <w:t>Current tenure profile</w:t>
      </w:r>
    </w:p>
    <w:p w14:paraId="20080AED" w14:textId="77777777" w:rsidR="00290C33" w:rsidRPr="00DE3BC1" w:rsidRDefault="008129C3" w:rsidP="00252C91">
      <w:pPr>
        <w:pStyle w:val="Numberedtext"/>
        <w:jc w:val="both"/>
      </w:pPr>
      <w:r w:rsidRPr="00764F1A">
        <w:t xml:space="preserve">The current tenure profile is a key feature of the </w:t>
      </w:r>
      <w:r w:rsidR="00371520" w:rsidRPr="00764F1A">
        <w:t>Neighbourhood Area</w:t>
      </w:r>
      <w:r w:rsidRPr="00764F1A">
        <w:t xml:space="preserve"> (NA). Patterns of home ownership, private renting and affordable/social renting reflect demographic characteristics including age (with older households more likely to own their own ho</w:t>
      </w:r>
      <w:r w:rsidRPr="00DE3BC1">
        <w:t xml:space="preserve">mes), and patterns of income and wealth which influence whether households can afford to rent or buy and whether they need subsidy to access housing. </w:t>
      </w:r>
    </w:p>
    <w:p w14:paraId="4ED0DEB9" w14:textId="2ACE7D93" w:rsidR="00290C33" w:rsidRPr="00DE3BC1" w:rsidRDefault="004D2A8B" w:rsidP="00252C91">
      <w:pPr>
        <w:pStyle w:val="Numberedtext"/>
        <w:jc w:val="both"/>
      </w:pPr>
      <w:r w:rsidRPr="00DE3BC1">
        <w:t xml:space="preserve">Table </w:t>
      </w:r>
      <w:r w:rsidR="000C0D34" w:rsidRPr="00DE3BC1">
        <w:t>4-1</w:t>
      </w:r>
      <w:r w:rsidRPr="00DE3BC1">
        <w:t xml:space="preserve"> </w:t>
      </w:r>
      <w:r w:rsidR="008129C3" w:rsidRPr="00DE3BC1">
        <w:t xml:space="preserve">presents data on tenure in </w:t>
      </w:r>
      <w:r w:rsidR="00D143F2" w:rsidRPr="00DE3BC1">
        <w:t>Consett</w:t>
      </w:r>
      <w:r w:rsidR="008129C3" w:rsidRPr="00DE3BC1">
        <w:t xml:space="preserve"> compared with </w:t>
      </w:r>
      <w:r w:rsidR="00DC6F3A" w:rsidRPr="00DE3BC1">
        <w:t>Durham</w:t>
      </w:r>
      <w:r w:rsidR="002C56C8" w:rsidRPr="00DE3BC1">
        <w:t xml:space="preserve"> </w:t>
      </w:r>
      <w:r w:rsidR="008129C3" w:rsidRPr="00DE3BC1">
        <w:t>and England from the 20</w:t>
      </w:r>
      <w:r w:rsidR="00F84A64" w:rsidRPr="00DE3BC1">
        <w:t>2</w:t>
      </w:r>
      <w:r w:rsidR="008129C3" w:rsidRPr="00DE3BC1">
        <w:t xml:space="preserve">1 Census. </w:t>
      </w:r>
      <w:r w:rsidR="00C418E4" w:rsidRPr="00DE3BC1">
        <w:t xml:space="preserve">It shows that home ownership is the dominant tenure in Consett (66%), which is higher than the </w:t>
      </w:r>
      <w:r w:rsidR="00BA45CA">
        <w:t>county</w:t>
      </w:r>
      <w:r w:rsidR="00BA45CA" w:rsidRPr="00DE3BC1">
        <w:t xml:space="preserve"> </w:t>
      </w:r>
      <w:r w:rsidR="00C418E4" w:rsidRPr="00DE3BC1">
        <w:t>average (</w:t>
      </w:r>
      <w:r w:rsidR="00912515" w:rsidRPr="00DE3BC1">
        <w:t>63%). The NA has a broadly comparable private rented sector</w:t>
      </w:r>
      <w:r w:rsidR="00FA0C5B" w:rsidRPr="00DE3BC1">
        <w:t xml:space="preserve"> to the County Durham average and both areas have a very small proportion of shared ownership dwellings.</w:t>
      </w:r>
    </w:p>
    <w:p w14:paraId="658334F8" w14:textId="634E6095" w:rsidR="00D96603" w:rsidRPr="00DE3BC1" w:rsidRDefault="00D96603" w:rsidP="00252C91">
      <w:pPr>
        <w:pStyle w:val="Numberedtext"/>
        <w:jc w:val="both"/>
      </w:pPr>
      <w:r w:rsidRPr="00DE3BC1">
        <w:t xml:space="preserve">In Consett, the social rented sector accounts for </w:t>
      </w:r>
      <w:r w:rsidR="00DE3BC1" w:rsidRPr="00DE3BC1">
        <w:t xml:space="preserve">16% of all households, which is a slightly smaller proportion than </w:t>
      </w:r>
      <w:r w:rsidR="00533D00">
        <w:t>it</w:t>
      </w:r>
      <w:r w:rsidR="006714A0">
        <w:t>s</w:t>
      </w:r>
      <w:r w:rsidR="00533D00">
        <w:t xml:space="preserve"> share in </w:t>
      </w:r>
      <w:r w:rsidR="00DE3BC1" w:rsidRPr="00DE3BC1">
        <w:t xml:space="preserve">County Durham as a whole. </w:t>
      </w:r>
    </w:p>
    <w:p w14:paraId="2C46AE28" w14:textId="217C8CC7" w:rsidR="00F84A64" w:rsidRPr="00C54931" w:rsidRDefault="00F84A64" w:rsidP="00252C91">
      <w:pPr>
        <w:pStyle w:val="Caption"/>
        <w:jc w:val="both"/>
        <w:rPr>
          <w:color w:val="auto"/>
        </w:rPr>
      </w:pPr>
      <w:r w:rsidRPr="00C54931">
        <w:rPr>
          <w:color w:val="auto"/>
        </w:rPr>
        <w:t xml:space="preserve">Table </w:t>
      </w:r>
      <w:r w:rsidR="00DE3BC1" w:rsidRPr="00C54931">
        <w:rPr>
          <w:color w:val="auto"/>
        </w:rPr>
        <w:t>4-1</w:t>
      </w:r>
      <w:r w:rsidRPr="00C54931">
        <w:rPr>
          <w:color w:val="auto"/>
        </w:rPr>
        <w:t xml:space="preserve">: Tenure (households) in </w:t>
      </w:r>
      <w:r w:rsidR="00D143F2" w:rsidRPr="00C54931">
        <w:rPr>
          <w:color w:val="auto"/>
        </w:rPr>
        <w:t>Consett</w:t>
      </w:r>
      <w:r w:rsidRPr="00C54931">
        <w:rPr>
          <w:color w:val="auto"/>
        </w:rPr>
        <w:t>, 20</w:t>
      </w:r>
      <w:r w:rsidR="00A13A42" w:rsidRPr="00C54931">
        <w:rPr>
          <w:color w:val="auto"/>
        </w:rPr>
        <w:t>21</w:t>
      </w:r>
    </w:p>
    <w:tbl>
      <w:tblPr>
        <w:tblW w:w="5000" w:type="pct"/>
        <w:tblInd w:w="-10" w:type="dxa"/>
        <w:tblLook w:val="04A0" w:firstRow="1" w:lastRow="0" w:firstColumn="1" w:lastColumn="0" w:noHBand="0" w:noVBand="1"/>
      </w:tblPr>
      <w:tblGrid>
        <w:gridCol w:w="3245"/>
        <w:gridCol w:w="2092"/>
        <w:gridCol w:w="2514"/>
        <w:gridCol w:w="1963"/>
      </w:tblGrid>
      <w:tr w:rsidR="00F84A64" w:rsidRPr="00C54931" w14:paraId="308E7FB1" w14:textId="77777777" w:rsidTr="00B9604B">
        <w:trPr>
          <w:trHeight w:val="288"/>
        </w:trPr>
        <w:tc>
          <w:tcPr>
            <w:tcW w:w="1653" w:type="pct"/>
            <w:tcBorders>
              <w:top w:val="single" w:sz="8" w:space="0" w:color="auto"/>
              <w:left w:val="single" w:sz="8" w:space="0" w:color="auto"/>
              <w:bottom w:val="single" w:sz="4" w:space="0" w:color="auto"/>
              <w:right w:val="single" w:sz="4" w:space="0" w:color="auto"/>
            </w:tcBorders>
            <w:shd w:val="clear" w:color="auto" w:fill="000000" w:themeFill="text1"/>
            <w:noWrap/>
            <w:vAlign w:val="center"/>
            <w:hideMark/>
          </w:tcPr>
          <w:p w14:paraId="2E93FBCA" w14:textId="77777777" w:rsidR="00F84A64" w:rsidRPr="00C54931" w:rsidRDefault="00F84A64" w:rsidP="00252C91">
            <w:pPr>
              <w:spacing w:line="276" w:lineRule="auto"/>
              <w:jc w:val="both"/>
              <w:rPr>
                <w:b/>
                <w:color w:val="FFFFFF" w:themeColor="background2"/>
              </w:rPr>
            </w:pPr>
            <w:r w:rsidRPr="00C54931">
              <w:rPr>
                <w:b/>
                <w:color w:val="FFFFFF" w:themeColor="background2"/>
              </w:rPr>
              <w:t>Tenure</w:t>
            </w:r>
          </w:p>
        </w:tc>
        <w:tc>
          <w:tcPr>
            <w:tcW w:w="1066" w:type="pct"/>
            <w:tcBorders>
              <w:top w:val="single" w:sz="8" w:space="0" w:color="auto"/>
              <w:left w:val="nil"/>
              <w:bottom w:val="single" w:sz="4" w:space="0" w:color="auto"/>
              <w:right w:val="single" w:sz="4" w:space="0" w:color="auto"/>
            </w:tcBorders>
            <w:shd w:val="clear" w:color="auto" w:fill="000000" w:themeFill="text1"/>
            <w:noWrap/>
            <w:vAlign w:val="center"/>
            <w:hideMark/>
          </w:tcPr>
          <w:p w14:paraId="7E2F4441" w14:textId="3F3164A5" w:rsidR="00F84A64" w:rsidRPr="00C54931" w:rsidRDefault="00DE3BC1" w:rsidP="00DE3BC1">
            <w:pPr>
              <w:spacing w:line="276" w:lineRule="auto"/>
              <w:jc w:val="right"/>
              <w:rPr>
                <w:b/>
                <w:bCs/>
                <w:color w:val="FFFFFF" w:themeColor="background2"/>
              </w:rPr>
            </w:pPr>
            <w:r w:rsidRPr="00C54931">
              <w:rPr>
                <w:b/>
                <w:bCs/>
                <w:color w:val="FFFFFF" w:themeColor="background2"/>
              </w:rPr>
              <w:t>Consett</w:t>
            </w:r>
          </w:p>
        </w:tc>
        <w:tc>
          <w:tcPr>
            <w:tcW w:w="1281" w:type="pct"/>
            <w:tcBorders>
              <w:top w:val="single" w:sz="8" w:space="0" w:color="auto"/>
              <w:left w:val="nil"/>
              <w:bottom w:val="single" w:sz="4" w:space="0" w:color="auto"/>
              <w:right w:val="single" w:sz="4" w:space="0" w:color="auto"/>
            </w:tcBorders>
            <w:shd w:val="clear" w:color="auto" w:fill="000000" w:themeFill="text1"/>
            <w:noWrap/>
            <w:vAlign w:val="center"/>
            <w:hideMark/>
          </w:tcPr>
          <w:p w14:paraId="765A6394" w14:textId="3B39BCF0" w:rsidR="00F84A64" w:rsidRPr="00C54931" w:rsidRDefault="00DE3BC1" w:rsidP="00DE3BC1">
            <w:pPr>
              <w:spacing w:line="276" w:lineRule="auto"/>
              <w:jc w:val="right"/>
              <w:rPr>
                <w:b/>
                <w:bCs/>
                <w:color w:val="FFFFFF" w:themeColor="background2"/>
              </w:rPr>
            </w:pPr>
            <w:r w:rsidRPr="00C54931">
              <w:rPr>
                <w:b/>
                <w:bCs/>
                <w:color w:val="FFFFFF" w:themeColor="background2"/>
              </w:rPr>
              <w:t>County Durham</w:t>
            </w:r>
          </w:p>
        </w:tc>
        <w:tc>
          <w:tcPr>
            <w:tcW w:w="1000" w:type="pct"/>
            <w:tcBorders>
              <w:top w:val="single" w:sz="8" w:space="0" w:color="auto"/>
              <w:left w:val="nil"/>
              <w:bottom w:val="single" w:sz="4" w:space="0" w:color="auto"/>
              <w:right w:val="single" w:sz="8" w:space="0" w:color="auto"/>
            </w:tcBorders>
            <w:shd w:val="clear" w:color="auto" w:fill="000000" w:themeFill="text1"/>
            <w:noWrap/>
            <w:vAlign w:val="center"/>
            <w:hideMark/>
          </w:tcPr>
          <w:p w14:paraId="04AB0940" w14:textId="6469FF69" w:rsidR="00F84A64" w:rsidRPr="00C54931" w:rsidRDefault="00DE3BC1" w:rsidP="00DE3BC1">
            <w:pPr>
              <w:spacing w:line="276" w:lineRule="auto"/>
              <w:jc w:val="right"/>
              <w:rPr>
                <w:b/>
                <w:bCs/>
                <w:color w:val="FFFFFF" w:themeColor="background2"/>
              </w:rPr>
            </w:pPr>
            <w:r w:rsidRPr="00C54931">
              <w:rPr>
                <w:b/>
                <w:bCs/>
                <w:color w:val="FFFFFF" w:themeColor="background2"/>
              </w:rPr>
              <w:t>England</w:t>
            </w:r>
          </w:p>
        </w:tc>
      </w:tr>
      <w:tr w:rsidR="00B9604B" w:rsidRPr="00C54931" w14:paraId="67D3AE38" w14:textId="77777777" w:rsidTr="00B9604B">
        <w:trPr>
          <w:trHeight w:val="288"/>
        </w:trPr>
        <w:tc>
          <w:tcPr>
            <w:tcW w:w="1653" w:type="pct"/>
            <w:tcBorders>
              <w:top w:val="nil"/>
              <w:left w:val="single" w:sz="8" w:space="0" w:color="auto"/>
              <w:bottom w:val="single" w:sz="4" w:space="0" w:color="auto"/>
              <w:right w:val="single" w:sz="4" w:space="0" w:color="auto"/>
            </w:tcBorders>
            <w:shd w:val="clear" w:color="auto" w:fill="auto"/>
            <w:noWrap/>
            <w:vAlign w:val="center"/>
            <w:hideMark/>
          </w:tcPr>
          <w:p w14:paraId="65C57FEA" w14:textId="77777777" w:rsidR="00B9604B" w:rsidRPr="00C54931" w:rsidRDefault="00B9604B" w:rsidP="00B9604B">
            <w:pPr>
              <w:spacing w:line="276" w:lineRule="auto"/>
              <w:jc w:val="both"/>
            </w:pPr>
            <w:r w:rsidRPr="00C54931">
              <w:t>Owned</w:t>
            </w:r>
          </w:p>
        </w:tc>
        <w:tc>
          <w:tcPr>
            <w:tcW w:w="10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C9334F" w14:textId="65441F83" w:rsidR="00B9604B" w:rsidRPr="00C54931" w:rsidRDefault="00B9604B" w:rsidP="00B9604B">
            <w:pPr>
              <w:spacing w:line="276" w:lineRule="auto"/>
              <w:jc w:val="right"/>
              <w:rPr>
                <w:rFonts w:cstheme="minorHAnsi"/>
              </w:rPr>
            </w:pPr>
            <w:r w:rsidRPr="00C54931">
              <w:rPr>
                <w:rFonts w:ascii="Arial" w:hAnsi="Arial" w:cs="Arial"/>
                <w:color w:val="000000"/>
                <w:sz w:val="22"/>
                <w:szCs w:val="22"/>
              </w:rPr>
              <w:t>66.0%</w:t>
            </w:r>
          </w:p>
        </w:tc>
        <w:tc>
          <w:tcPr>
            <w:tcW w:w="1281" w:type="pct"/>
            <w:tcBorders>
              <w:top w:val="single" w:sz="4" w:space="0" w:color="auto"/>
              <w:left w:val="nil"/>
              <w:bottom w:val="single" w:sz="4" w:space="0" w:color="auto"/>
              <w:right w:val="single" w:sz="4" w:space="0" w:color="auto"/>
            </w:tcBorders>
            <w:shd w:val="clear" w:color="auto" w:fill="auto"/>
            <w:noWrap/>
            <w:vAlign w:val="bottom"/>
          </w:tcPr>
          <w:p w14:paraId="15C24ED8" w14:textId="3B879A36" w:rsidR="00B9604B" w:rsidRPr="00C54931" w:rsidRDefault="00B9604B" w:rsidP="00B9604B">
            <w:pPr>
              <w:spacing w:line="276" w:lineRule="auto"/>
              <w:jc w:val="right"/>
              <w:rPr>
                <w:rFonts w:cstheme="minorHAnsi"/>
              </w:rPr>
            </w:pPr>
            <w:r w:rsidRPr="00C54931">
              <w:rPr>
                <w:rFonts w:ascii="Arial" w:hAnsi="Arial" w:cs="Arial"/>
                <w:color w:val="000000"/>
                <w:sz w:val="22"/>
                <w:szCs w:val="22"/>
              </w:rPr>
              <w:t>62.5%</w:t>
            </w:r>
          </w:p>
        </w:tc>
        <w:tc>
          <w:tcPr>
            <w:tcW w:w="1000" w:type="pct"/>
            <w:tcBorders>
              <w:top w:val="single" w:sz="4" w:space="0" w:color="auto"/>
              <w:left w:val="nil"/>
              <w:bottom w:val="single" w:sz="4" w:space="0" w:color="auto"/>
              <w:right w:val="single" w:sz="4" w:space="0" w:color="auto"/>
            </w:tcBorders>
            <w:shd w:val="clear" w:color="auto" w:fill="auto"/>
            <w:noWrap/>
            <w:vAlign w:val="bottom"/>
          </w:tcPr>
          <w:p w14:paraId="5A577295" w14:textId="4F59093E" w:rsidR="00B9604B" w:rsidRPr="00C54931" w:rsidRDefault="00B9604B" w:rsidP="00B9604B">
            <w:pPr>
              <w:spacing w:line="276" w:lineRule="auto"/>
              <w:jc w:val="right"/>
              <w:rPr>
                <w:rFonts w:cstheme="minorHAnsi"/>
              </w:rPr>
            </w:pPr>
            <w:r w:rsidRPr="00C54931">
              <w:rPr>
                <w:rFonts w:ascii="Arial" w:hAnsi="Arial" w:cs="Arial"/>
                <w:color w:val="000000"/>
                <w:sz w:val="22"/>
                <w:szCs w:val="22"/>
              </w:rPr>
              <w:t>61.3%</w:t>
            </w:r>
          </w:p>
        </w:tc>
      </w:tr>
      <w:tr w:rsidR="00B9604B" w:rsidRPr="00C54931" w14:paraId="210D64D0" w14:textId="77777777" w:rsidTr="00B9604B">
        <w:trPr>
          <w:trHeight w:val="288"/>
        </w:trPr>
        <w:tc>
          <w:tcPr>
            <w:tcW w:w="1653" w:type="pct"/>
            <w:tcBorders>
              <w:top w:val="nil"/>
              <w:left w:val="single" w:sz="8" w:space="0" w:color="auto"/>
              <w:bottom w:val="single" w:sz="4" w:space="0" w:color="auto"/>
              <w:right w:val="single" w:sz="4" w:space="0" w:color="auto"/>
            </w:tcBorders>
            <w:shd w:val="clear" w:color="auto" w:fill="auto"/>
            <w:noWrap/>
            <w:vAlign w:val="center"/>
            <w:hideMark/>
          </w:tcPr>
          <w:p w14:paraId="3ECF905B" w14:textId="77777777" w:rsidR="00B9604B" w:rsidRPr="00C54931" w:rsidRDefault="00B9604B" w:rsidP="00B9604B">
            <w:pPr>
              <w:spacing w:line="276" w:lineRule="auto"/>
              <w:jc w:val="both"/>
            </w:pPr>
            <w:r w:rsidRPr="00C54931">
              <w:t xml:space="preserve">Shared ownership </w:t>
            </w:r>
          </w:p>
        </w:tc>
        <w:tc>
          <w:tcPr>
            <w:tcW w:w="1066" w:type="pct"/>
            <w:tcBorders>
              <w:top w:val="nil"/>
              <w:left w:val="single" w:sz="4" w:space="0" w:color="auto"/>
              <w:bottom w:val="single" w:sz="4" w:space="0" w:color="auto"/>
              <w:right w:val="single" w:sz="4" w:space="0" w:color="auto"/>
            </w:tcBorders>
            <w:shd w:val="clear" w:color="auto" w:fill="auto"/>
            <w:noWrap/>
            <w:vAlign w:val="bottom"/>
          </w:tcPr>
          <w:p w14:paraId="3BE1D01F" w14:textId="791F5C92" w:rsidR="00B9604B" w:rsidRPr="00C54931" w:rsidRDefault="00B9604B" w:rsidP="00B9604B">
            <w:pPr>
              <w:spacing w:line="276" w:lineRule="auto"/>
              <w:jc w:val="right"/>
              <w:rPr>
                <w:rFonts w:cstheme="minorHAnsi"/>
              </w:rPr>
            </w:pPr>
            <w:r w:rsidRPr="00C54931">
              <w:rPr>
                <w:rFonts w:ascii="Arial" w:hAnsi="Arial" w:cs="Arial"/>
                <w:color w:val="000000"/>
                <w:sz w:val="22"/>
                <w:szCs w:val="22"/>
              </w:rPr>
              <w:t>0.2%</w:t>
            </w:r>
          </w:p>
        </w:tc>
        <w:tc>
          <w:tcPr>
            <w:tcW w:w="1281" w:type="pct"/>
            <w:tcBorders>
              <w:top w:val="nil"/>
              <w:left w:val="nil"/>
              <w:bottom w:val="single" w:sz="4" w:space="0" w:color="auto"/>
              <w:right w:val="single" w:sz="4" w:space="0" w:color="auto"/>
            </w:tcBorders>
            <w:shd w:val="clear" w:color="auto" w:fill="auto"/>
            <w:noWrap/>
            <w:vAlign w:val="bottom"/>
          </w:tcPr>
          <w:p w14:paraId="60F9FFAA" w14:textId="05015FE6" w:rsidR="00B9604B" w:rsidRPr="00C54931" w:rsidRDefault="00B9604B" w:rsidP="00B9604B">
            <w:pPr>
              <w:spacing w:line="276" w:lineRule="auto"/>
              <w:jc w:val="right"/>
              <w:rPr>
                <w:rFonts w:cstheme="minorHAnsi"/>
              </w:rPr>
            </w:pPr>
            <w:r w:rsidRPr="00C54931">
              <w:rPr>
                <w:rFonts w:ascii="Arial" w:hAnsi="Arial" w:cs="Arial"/>
                <w:color w:val="000000"/>
                <w:sz w:val="22"/>
                <w:szCs w:val="22"/>
              </w:rPr>
              <w:t>0.3%</w:t>
            </w:r>
          </w:p>
        </w:tc>
        <w:tc>
          <w:tcPr>
            <w:tcW w:w="1000" w:type="pct"/>
            <w:tcBorders>
              <w:top w:val="nil"/>
              <w:left w:val="nil"/>
              <w:bottom w:val="single" w:sz="4" w:space="0" w:color="auto"/>
              <w:right w:val="single" w:sz="4" w:space="0" w:color="auto"/>
            </w:tcBorders>
            <w:shd w:val="clear" w:color="auto" w:fill="auto"/>
            <w:noWrap/>
            <w:vAlign w:val="bottom"/>
          </w:tcPr>
          <w:p w14:paraId="71D204C1" w14:textId="4C05EEE2" w:rsidR="00B9604B" w:rsidRPr="00C54931" w:rsidRDefault="00B9604B" w:rsidP="00B9604B">
            <w:pPr>
              <w:spacing w:line="276" w:lineRule="auto"/>
              <w:jc w:val="right"/>
              <w:rPr>
                <w:rFonts w:cstheme="minorHAnsi"/>
              </w:rPr>
            </w:pPr>
            <w:r w:rsidRPr="00C54931">
              <w:rPr>
                <w:rFonts w:ascii="Arial" w:hAnsi="Arial" w:cs="Arial"/>
                <w:color w:val="000000"/>
                <w:sz w:val="22"/>
                <w:szCs w:val="22"/>
              </w:rPr>
              <w:t>1.0%</w:t>
            </w:r>
          </w:p>
        </w:tc>
      </w:tr>
      <w:tr w:rsidR="00B9604B" w:rsidRPr="00C54931" w14:paraId="5023019E" w14:textId="77777777" w:rsidTr="00B9604B">
        <w:trPr>
          <w:trHeight w:val="288"/>
        </w:trPr>
        <w:tc>
          <w:tcPr>
            <w:tcW w:w="1653" w:type="pct"/>
            <w:tcBorders>
              <w:top w:val="nil"/>
              <w:left w:val="single" w:sz="8" w:space="0" w:color="auto"/>
              <w:bottom w:val="single" w:sz="4" w:space="0" w:color="auto"/>
              <w:right w:val="single" w:sz="4" w:space="0" w:color="auto"/>
            </w:tcBorders>
            <w:shd w:val="clear" w:color="auto" w:fill="auto"/>
            <w:noWrap/>
            <w:vAlign w:val="center"/>
            <w:hideMark/>
          </w:tcPr>
          <w:p w14:paraId="19E14D6A" w14:textId="77777777" w:rsidR="00B9604B" w:rsidRPr="00C54931" w:rsidRDefault="00B9604B" w:rsidP="00B9604B">
            <w:pPr>
              <w:spacing w:line="276" w:lineRule="auto"/>
              <w:jc w:val="both"/>
            </w:pPr>
            <w:r w:rsidRPr="00C54931">
              <w:t>Social rented</w:t>
            </w:r>
          </w:p>
        </w:tc>
        <w:tc>
          <w:tcPr>
            <w:tcW w:w="1066" w:type="pct"/>
            <w:tcBorders>
              <w:top w:val="nil"/>
              <w:left w:val="single" w:sz="4" w:space="0" w:color="auto"/>
              <w:bottom w:val="single" w:sz="4" w:space="0" w:color="auto"/>
              <w:right w:val="single" w:sz="4" w:space="0" w:color="auto"/>
            </w:tcBorders>
            <w:shd w:val="clear" w:color="auto" w:fill="auto"/>
            <w:noWrap/>
            <w:vAlign w:val="bottom"/>
          </w:tcPr>
          <w:p w14:paraId="7363AAC7" w14:textId="0CD9B1ED" w:rsidR="00B9604B" w:rsidRPr="00C54931" w:rsidRDefault="00B9604B" w:rsidP="00B9604B">
            <w:pPr>
              <w:spacing w:line="276" w:lineRule="auto"/>
              <w:jc w:val="right"/>
              <w:rPr>
                <w:rFonts w:cstheme="minorHAnsi"/>
              </w:rPr>
            </w:pPr>
            <w:r w:rsidRPr="00C54931">
              <w:rPr>
                <w:rFonts w:ascii="Arial" w:hAnsi="Arial" w:cs="Arial"/>
                <w:color w:val="000000"/>
                <w:sz w:val="22"/>
                <w:szCs w:val="22"/>
              </w:rPr>
              <w:t>16.0%</w:t>
            </w:r>
          </w:p>
        </w:tc>
        <w:tc>
          <w:tcPr>
            <w:tcW w:w="1281" w:type="pct"/>
            <w:tcBorders>
              <w:top w:val="nil"/>
              <w:left w:val="nil"/>
              <w:bottom w:val="single" w:sz="4" w:space="0" w:color="auto"/>
              <w:right w:val="single" w:sz="4" w:space="0" w:color="auto"/>
            </w:tcBorders>
            <w:shd w:val="clear" w:color="auto" w:fill="auto"/>
            <w:noWrap/>
            <w:vAlign w:val="bottom"/>
          </w:tcPr>
          <w:p w14:paraId="519B9B3D" w14:textId="01ABEA1B" w:rsidR="00B9604B" w:rsidRPr="00C54931" w:rsidRDefault="00B9604B" w:rsidP="00B9604B">
            <w:pPr>
              <w:spacing w:line="276" w:lineRule="auto"/>
              <w:jc w:val="right"/>
              <w:rPr>
                <w:rFonts w:cstheme="minorHAnsi"/>
              </w:rPr>
            </w:pPr>
            <w:r w:rsidRPr="00C54931">
              <w:rPr>
                <w:rFonts w:ascii="Arial" w:hAnsi="Arial" w:cs="Arial"/>
                <w:color w:val="000000"/>
                <w:sz w:val="22"/>
                <w:szCs w:val="22"/>
              </w:rPr>
              <w:t>20.0%</w:t>
            </w:r>
          </w:p>
        </w:tc>
        <w:tc>
          <w:tcPr>
            <w:tcW w:w="1000" w:type="pct"/>
            <w:tcBorders>
              <w:top w:val="nil"/>
              <w:left w:val="nil"/>
              <w:bottom w:val="single" w:sz="4" w:space="0" w:color="auto"/>
              <w:right w:val="single" w:sz="4" w:space="0" w:color="auto"/>
            </w:tcBorders>
            <w:shd w:val="clear" w:color="auto" w:fill="auto"/>
            <w:noWrap/>
            <w:vAlign w:val="bottom"/>
          </w:tcPr>
          <w:p w14:paraId="599F523E" w14:textId="3B7DDF23" w:rsidR="00B9604B" w:rsidRPr="00C54931" w:rsidRDefault="00B9604B" w:rsidP="00B9604B">
            <w:pPr>
              <w:spacing w:line="276" w:lineRule="auto"/>
              <w:jc w:val="right"/>
              <w:rPr>
                <w:rFonts w:cstheme="minorHAnsi"/>
              </w:rPr>
            </w:pPr>
            <w:r w:rsidRPr="00C54931">
              <w:rPr>
                <w:rFonts w:ascii="Arial" w:hAnsi="Arial" w:cs="Arial"/>
                <w:color w:val="000000"/>
                <w:sz w:val="22"/>
                <w:szCs w:val="22"/>
              </w:rPr>
              <w:t>17.1%</w:t>
            </w:r>
          </w:p>
        </w:tc>
      </w:tr>
      <w:tr w:rsidR="00B9604B" w:rsidRPr="00C54931" w14:paraId="039E1810" w14:textId="77777777" w:rsidTr="00B9604B">
        <w:trPr>
          <w:trHeight w:val="300"/>
        </w:trPr>
        <w:tc>
          <w:tcPr>
            <w:tcW w:w="1653" w:type="pct"/>
            <w:tcBorders>
              <w:top w:val="nil"/>
              <w:left w:val="single" w:sz="8" w:space="0" w:color="auto"/>
              <w:bottom w:val="single" w:sz="8" w:space="0" w:color="auto"/>
              <w:right w:val="single" w:sz="4" w:space="0" w:color="auto"/>
            </w:tcBorders>
            <w:shd w:val="clear" w:color="auto" w:fill="auto"/>
            <w:noWrap/>
            <w:vAlign w:val="center"/>
            <w:hideMark/>
          </w:tcPr>
          <w:p w14:paraId="6A01F638" w14:textId="77777777" w:rsidR="00B9604B" w:rsidRPr="00C54931" w:rsidRDefault="00B9604B" w:rsidP="00B9604B">
            <w:pPr>
              <w:spacing w:line="276" w:lineRule="auto"/>
              <w:jc w:val="both"/>
            </w:pPr>
            <w:r w:rsidRPr="00C54931">
              <w:t>Private rented</w:t>
            </w:r>
          </w:p>
        </w:tc>
        <w:tc>
          <w:tcPr>
            <w:tcW w:w="1066" w:type="pct"/>
            <w:tcBorders>
              <w:top w:val="nil"/>
              <w:left w:val="single" w:sz="4" w:space="0" w:color="auto"/>
              <w:bottom w:val="single" w:sz="4" w:space="0" w:color="auto"/>
              <w:right w:val="single" w:sz="4" w:space="0" w:color="auto"/>
            </w:tcBorders>
            <w:shd w:val="clear" w:color="auto" w:fill="auto"/>
            <w:noWrap/>
            <w:vAlign w:val="bottom"/>
          </w:tcPr>
          <w:p w14:paraId="684FAACB" w14:textId="256E203E" w:rsidR="00B9604B" w:rsidRPr="00C54931" w:rsidRDefault="00B9604B" w:rsidP="00B9604B">
            <w:pPr>
              <w:spacing w:line="276" w:lineRule="auto"/>
              <w:jc w:val="right"/>
              <w:rPr>
                <w:rFonts w:cstheme="minorHAnsi"/>
              </w:rPr>
            </w:pPr>
            <w:r w:rsidRPr="00C54931">
              <w:rPr>
                <w:rFonts w:ascii="Arial" w:hAnsi="Arial" w:cs="Arial"/>
                <w:color w:val="000000"/>
                <w:sz w:val="22"/>
                <w:szCs w:val="22"/>
              </w:rPr>
              <w:t>17.8%</w:t>
            </w:r>
          </w:p>
        </w:tc>
        <w:tc>
          <w:tcPr>
            <w:tcW w:w="1281" w:type="pct"/>
            <w:tcBorders>
              <w:top w:val="nil"/>
              <w:left w:val="nil"/>
              <w:bottom w:val="single" w:sz="4" w:space="0" w:color="auto"/>
              <w:right w:val="single" w:sz="4" w:space="0" w:color="auto"/>
            </w:tcBorders>
            <w:shd w:val="clear" w:color="auto" w:fill="auto"/>
            <w:noWrap/>
            <w:vAlign w:val="bottom"/>
          </w:tcPr>
          <w:p w14:paraId="53580F87" w14:textId="48B821F2" w:rsidR="00B9604B" w:rsidRPr="00C54931" w:rsidRDefault="00B9604B" w:rsidP="00B9604B">
            <w:pPr>
              <w:spacing w:line="276" w:lineRule="auto"/>
              <w:jc w:val="right"/>
              <w:rPr>
                <w:rFonts w:cstheme="minorHAnsi"/>
              </w:rPr>
            </w:pPr>
            <w:r w:rsidRPr="00C54931">
              <w:rPr>
                <w:rFonts w:ascii="Arial" w:hAnsi="Arial" w:cs="Arial"/>
                <w:color w:val="000000"/>
                <w:sz w:val="22"/>
                <w:szCs w:val="22"/>
              </w:rPr>
              <w:t>17.2%</w:t>
            </w:r>
          </w:p>
        </w:tc>
        <w:tc>
          <w:tcPr>
            <w:tcW w:w="1000" w:type="pct"/>
            <w:tcBorders>
              <w:top w:val="nil"/>
              <w:left w:val="nil"/>
              <w:bottom w:val="single" w:sz="4" w:space="0" w:color="auto"/>
              <w:right w:val="single" w:sz="4" w:space="0" w:color="auto"/>
            </w:tcBorders>
            <w:shd w:val="clear" w:color="auto" w:fill="auto"/>
            <w:noWrap/>
            <w:vAlign w:val="bottom"/>
          </w:tcPr>
          <w:p w14:paraId="74588974" w14:textId="6DE7F3AA" w:rsidR="00B9604B" w:rsidRPr="00C54931" w:rsidRDefault="00B9604B" w:rsidP="00B9604B">
            <w:pPr>
              <w:spacing w:line="276" w:lineRule="auto"/>
              <w:jc w:val="right"/>
              <w:rPr>
                <w:rFonts w:cstheme="minorHAnsi"/>
              </w:rPr>
            </w:pPr>
            <w:r w:rsidRPr="00C54931">
              <w:rPr>
                <w:rFonts w:ascii="Arial" w:hAnsi="Arial" w:cs="Arial"/>
                <w:color w:val="000000"/>
                <w:sz w:val="22"/>
                <w:szCs w:val="22"/>
              </w:rPr>
              <w:t>20.6%</w:t>
            </w:r>
          </w:p>
        </w:tc>
      </w:tr>
    </w:tbl>
    <w:p w14:paraId="630DC719" w14:textId="12C8FEBC" w:rsidR="00F84A64" w:rsidRPr="00C54931" w:rsidRDefault="00F84A64" w:rsidP="00252C91">
      <w:pPr>
        <w:pStyle w:val="Source"/>
        <w:jc w:val="both"/>
      </w:pPr>
      <w:r w:rsidRPr="00C54931">
        <w:t xml:space="preserve">Sources: Census </w:t>
      </w:r>
      <w:r w:rsidR="00A13A42" w:rsidRPr="00C54931">
        <w:t>2021</w:t>
      </w:r>
      <w:r w:rsidRPr="00C54931">
        <w:t>, AECOM Calculations</w:t>
      </w:r>
    </w:p>
    <w:p w14:paraId="308B8C0F" w14:textId="610990B3" w:rsidR="008129C3" w:rsidRPr="00C54931" w:rsidRDefault="00F84A64" w:rsidP="00252C91">
      <w:pPr>
        <w:pStyle w:val="Numberedtext"/>
        <w:jc w:val="both"/>
      </w:pPr>
      <w:r w:rsidRPr="00C54931">
        <w:t xml:space="preserve">It is also worth comparing </w:t>
      </w:r>
      <w:r w:rsidR="00A13A42" w:rsidRPr="00C54931">
        <w:t>how the tenure mix has changed in the last ten years, using the 2011 Census</w:t>
      </w:r>
      <w:r w:rsidR="00E16B87" w:rsidRPr="00C54931">
        <w:t xml:space="preserve"> (see Table </w:t>
      </w:r>
      <w:r w:rsidR="00DE3BC1" w:rsidRPr="00C54931">
        <w:t>4-2</w:t>
      </w:r>
      <w:r w:rsidR="00E16B87" w:rsidRPr="00C54931">
        <w:t>)</w:t>
      </w:r>
      <w:r w:rsidR="00A13A42" w:rsidRPr="00C54931">
        <w:t xml:space="preserve">. </w:t>
      </w:r>
      <w:r w:rsidR="00CF1A9E" w:rsidRPr="00C54931">
        <w:t>The most striking change over the last decade is the significant increase in the number of private rent</w:t>
      </w:r>
      <w:r w:rsidR="00486541">
        <w:t>e</w:t>
      </w:r>
      <w:r w:rsidR="005A5C16">
        <w:t>rs</w:t>
      </w:r>
      <w:r w:rsidR="00977132" w:rsidRPr="00C54931">
        <w:t xml:space="preserve"> (+793 </w:t>
      </w:r>
      <w:r w:rsidR="005A5C16">
        <w:t>households</w:t>
      </w:r>
      <w:r w:rsidR="00977132" w:rsidRPr="00C54931">
        <w:t xml:space="preserve">), when compared to </w:t>
      </w:r>
      <w:r w:rsidR="009B52E8" w:rsidRPr="00C54931">
        <w:t xml:space="preserve">much slower growth in </w:t>
      </w:r>
      <w:proofErr w:type="gramStart"/>
      <w:r w:rsidR="009B52E8" w:rsidRPr="00C54931">
        <w:t>home owners</w:t>
      </w:r>
      <w:proofErr w:type="gramEnd"/>
      <w:r w:rsidR="009B52E8" w:rsidRPr="00C54931">
        <w:t xml:space="preserve"> and social </w:t>
      </w:r>
      <w:r w:rsidR="005A5C16">
        <w:t>renters</w:t>
      </w:r>
      <w:r w:rsidR="009B52E8" w:rsidRPr="00C54931">
        <w:t>. Changes of this kind can be interpreted as a s</w:t>
      </w:r>
      <w:r w:rsidR="00CB2D8B">
        <w:t>ignal</w:t>
      </w:r>
      <w:r w:rsidR="009B52E8" w:rsidRPr="00C54931">
        <w:t xml:space="preserve"> of affordability challenges, as people are unable to buy homes and are forced into the private rental market. </w:t>
      </w:r>
      <w:r w:rsidR="007D1297">
        <w:t xml:space="preserve">It can also reflect </w:t>
      </w:r>
      <w:r w:rsidR="00264F32">
        <w:t xml:space="preserve">need for Affordable Housing with some households who </w:t>
      </w:r>
      <w:r w:rsidR="00561E9B">
        <w:t xml:space="preserve">cannot afford market housing being supported by housing benefit in the private rented sector. </w:t>
      </w:r>
    </w:p>
    <w:p w14:paraId="44F4CC87" w14:textId="3C6413F9" w:rsidR="008129C3" w:rsidRPr="00764F1A" w:rsidRDefault="008129C3" w:rsidP="00252C91">
      <w:pPr>
        <w:pStyle w:val="Caption"/>
        <w:jc w:val="both"/>
        <w:rPr>
          <w:color w:val="auto"/>
        </w:rPr>
      </w:pPr>
      <w:bookmarkStart w:id="81" w:name="_Ref2330296"/>
      <w:r w:rsidRPr="00C54931">
        <w:rPr>
          <w:color w:val="auto"/>
        </w:rPr>
        <w:t>Ta</w:t>
      </w:r>
      <w:bookmarkEnd w:id="81"/>
      <w:r w:rsidR="004D2A8B" w:rsidRPr="00C54931">
        <w:rPr>
          <w:color w:val="auto"/>
        </w:rPr>
        <w:t xml:space="preserve">ble </w:t>
      </w:r>
      <w:r w:rsidR="00DE3BC1" w:rsidRPr="00C54931">
        <w:rPr>
          <w:color w:val="auto"/>
        </w:rPr>
        <w:t>4-2</w:t>
      </w:r>
      <w:r w:rsidRPr="00C54931">
        <w:rPr>
          <w:color w:val="auto"/>
        </w:rPr>
        <w:t xml:space="preserve">: Tenure </w:t>
      </w:r>
      <w:r w:rsidR="00A13A42" w:rsidRPr="00C54931">
        <w:rPr>
          <w:color w:val="auto"/>
        </w:rPr>
        <w:t xml:space="preserve">change </w:t>
      </w:r>
      <w:r w:rsidRPr="00C54931">
        <w:rPr>
          <w:color w:val="auto"/>
        </w:rPr>
        <w:t xml:space="preserve">(households) in </w:t>
      </w:r>
      <w:r w:rsidR="00D143F2" w:rsidRPr="00C54931">
        <w:rPr>
          <w:color w:val="auto"/>
        </w:rPr>
        <w:t>Consett</w:t>
      </w:r>
      <w:r w:rsidRPr="00C54931">
        <w:rPr>
          <w:color w:val="auto"/>
        </w:rPr>
        <w:t>, 2011</w:t>
      </w:r>
      <w:r w:rsidR="00A13A42" w:rsidRPr="00C54931">
        <w:rPr>
          <w:color w:val="auto"/>
        </w:rPr>
        <w:t>-2021</w:t>
      </w:r>
    </w:p>
    <w:tbl>
      <w:tblPr>
        <w:tblW w:w="5000" w:type="pct"/>
        <w:tblInd w:w="-10" w:type="dxa"/>
        <w:tblLook w:val="04A0" w:firstRow="1" w:lastRow="0" w:firstColumn="1" w:lastColumn="0" w:noHBand="0" w:noVBand="1"/>
      </w:tblPr>
      <w:tblGrid>
        <w:gridCol w:w="3245"/>
        <w:gridCol w:w="2092"/>
        <w:gridCol w:w="2514"/>
        <w:gridCol w:w="1963"/>
      </w:tblGrid>
      <w:tr w:rsidR="008129C3" w:rsidRPr="003A5666" w14:paraId="10446405" w14:textId="77777777" w:rsidTr="00D045DC">
        <w:trPr>
          <w:trHeight w:val="288"/>
        </w:trPr>
        <w:tc>
          <w:tcPr>
            <w:tcW w:w="1653" w:type="pct"/>
            <w:tcBorders>
              <w:top w:val="single" w:sz="8" w:space="0" w:color="auto"/>
              <w:left w:val="single" w:sz="8" w:space="0" w:color="auto"/>
              <w:bottom w:val="single" w:sz="4" w:space="0" w:color="auto"/>
              <w:right w:val="single" w:sz="4" w:space="0" w:color="auto"/>
            </w:tcBorders>
            <w:shd w:val="clear" w:color="auto" w:fill="000000" w:themeFill="text1"/>
            <w:noWrap/>
            <w:vAlign w:val="center"/>
            <w:hideMark/>
          </w:tcPr>
          <w:p w14:paraId="7E574290" w14:textId="77777777" w:rsidR="008129C3" w:rsidRPr="00803F9A" w:rsidRDefault="008129C3" w:rsidP="00252C91">
            <w:pPr>
              <w:spacing w:line="276" w:lineRule="auto"/>
              <w:jc w:val="both"/>
              <w:rPr>
                <w:b/>
                <w:color w:val="FFFFFF" w:themeColor="background2"/>
              </w:rPr>
            </w:pPr>
            <w:r w:rsidRPr="00803F9A">
              <w:rPr>
                <w:b/>
                <w:color w:val="FFFFFF" w:themeColor="background2"/>
              </w:rPr>
              <w:t>Tenure</w:t>
            </w:r>
          </w:p>
        </w:tc>
        <w:tc>
          <w:tcPr>
            <w:tcW w:w="1066" w:type="pct"/>
            <w:tcBorders>
              <w:top w:val="single" w:sz="8" w:space="0" w:color="auto"/>
              <w:left w:val="nil"/>
              <w:bottom w:val="single" w:sz="4" w:space="0" w:color="auto"/>
              <w:right w:val="single" w:sz="4" w:space="0" w:color="auto"/>
            </w:tcBorders>
            <w:shd w:val="clear" w:color="auto" w:fill="000000" w:themeFill="text1"/>
            <w:noWrap/>
            <w:vAlign w:val="center"/>
            <w:hideMark/>
          </w:tcPr>
          <w:p w14:paraId="74A18140" w14:textId="73A83719" w:rsidR="008129C3" w:rsidRPr="00803F9A" w:rsidRDefault="00A13A42" w:rsidP="00021F51">
            <w:pPr>
              <w:spacing w:line="276" w:lineRule="auto"/>
              <w:jc w:val="center"/>
              <w:rPr>
                <w:b/>
                <w:bCs/>
                <w:color w:val="FFFFFF" w:themeColor="background2"/>
              </w:rPr>
            </w:pPr>
            <w:r>
              <w:rPr>
                <w:b/>
                <w:bCs/>
                <w:color w:val="FFFFFF" w:themeColor="background2"/>
              </w:rPr>
              <w:t>2011</w:t>
            </w:r>
          </w:p>
        </w:tc>
        <w:tc>
          <w:tcPr>
            <w:tcW w:w="1281" w:type="pct"/>
            <w:tcBorders>
              <w:top w:val="single" w:sz="8" w:space="0" w:color="auto"/>
              <w:left w:val="nil"/>
              <w:bottom w:val="single" w:sz="4" w:space="0" w:color="auto"/>
              <w:right w:val="single" w:sz="4" w:space="0" w:color="auto"/>
            </w:tcBorders>
            <w:shd w:val="clear" w:color="auto" w:fill="000000" w:themeFill="text1"/>
            <w:noWrap/>
            <w:vAlign w:val="center"/>
            <w:hideMark/>
          </w:tcPr>
          <w:p w14:paraId="72E866AA" w14:textId="12841205" w:rsidR="008129C3" w:rsidRPr="00803F9A" w:rsidRDefault="00A13A42" w:rsidP="00021F51">
            <w:pPr>
              <w:spacing w:line="276" w:lineRule="auto"/>
              <w:jc w:val="center"/>
              <w:rPr>
                <w:b/>
                <w:bCs/>
                <w:color w:val="FFFFFF" w:themeColor="background2"/>
              </w:rPr>
            </w:pPr>
            <w:r>
              <w:rPr>
                <w:b/>
                <w:bCs/>
                <w:color w:val="FFFFFF" w:themeColor="background2"/>
              </w:rPr>
              <w:t>2021</w:t>
            </w:r>
          </w:p>
        </w:tc>
        <w:tc>
          <w:tcPr>
            <w:tcW w:w="1000" w:type="pct"/>
            <w:tcBorders>
              <w:top w:val="single" w:sz="8" w:space="0" w:color="auto"/>
              <w:left w:val="nil"/>
              <w:bottom w:val="single" w:sz="4" w:space="0" w:color="auto"/>
              <w:right w:val="single" w:sz="8" w:space="0" w:color="auto"/>
            </w:tcBorders>
            <w:shd w:val="clear" w:color="auto" w:fill="000000" w:themeFill="text1"/>
            <w:noWrap/>
            <w:vAlign w:val="center"/>
            <w:hideMark/>
          </w:tcPr>
          <w:p w14:paraId="58B76FAF" w14:textId="4ACE9430" w:rsidR="008129C3" w:rsidRPr="00803F9A" w:rsidRDefault="00A13A42" w:rsidP="00021F51">
            <w:pPr>
              <w:spacing w:line="276" w:lineRule="auto"/>
              <w:jc w:val="center"/>
              <w:rPr>
                <w:b/>
                <w:bCs/>
                <w:color w:val="FFFFFF" w:themeColor="background2"/>
              </w:rPr>
            </w:pPr>
            <w:r>
              <w:rPr>
                <w:b/>
                <w:bCs/>
                <w:color w:val="FFFFFF" w:themeColor="background2"/>
              </w:rPr>
              <w:t xml:space="preserve">% </w:t>
            </w:r>
            <w:r w:rsidR="00021F51">
              <w:rPr>
                <w:b/>
                <w:bCs/>
                <w:color w:val="FFFFFF" w:themeColor="background2"/>
              </w:rPr>
              <w:t>C</w:t>
            </w:r>
            <w:r>
              <w:rPr>
                <w:b/>
                <w:bCs/>
                <w:color w:val="FFFFFF" w:themeColor="background2"/>
              </w:rPr>
              <w:t>hange</w:t>
            </w:r>
          </w:p>
        </w:tc>
      </w:tr>
      <w:tr w:rsidR="00D045DC" w:rsidRPr="003A5666" w14:paraId="21284022" w14:textId="77777777" w:rsidTr="00D045DC">
        <w:trPr>
          <w:trHeight w:val="288"/>
        </w:trPr>
        <w:tc>
          <w:tcPr>
            <w:tcW w:w="1653" w:type="pct"/>
            <w:tcBorders>
              <w:top w:val="nil"/>
              <w:left w:val="single" w:sz="8" w:space="0" w:color="auto"/>
              <w:bottom w:val="single" w:sz="4" w:space="0" w:color="auto"/>
              <w:right w:val="single" w:sz="4" w:space="0" w:color="auto"/>
            </w:tcBorders>
            <w:shd w:val="clear" w:color="auto" w:fill="auto"/>
            <w:noWrap/>
            <w:vAlign w:val="center"/>
            <w:hideMark/>
          </w:tcPr>
          <w:p w14:paraId="2ABDC652" w14:textId="2F6BD1DC" w:rsidR="00D045DC" w:rsidRPr="00803F9A" w:rsidRDefault="00D045DC" w:rsidP="00D045DC">
            <w:pPr>
              <w:spacing w:line="276" w:lineRule="auto"/>
              <w:jc w:val="both"/>
            </w:pPr>
            <w:r w:rsidRPr="00803F9A">
              <w:t>Owned</w:t>
            </w:r>
          </w:p>
        </w:tc>
        <w:tc>
          <w:tcPr>
            <w:tcW w:w="10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6DFB99" w14:textId="50D04925" w:rsidR="00D045DC" w:rsidRPr="00803F9A" w:rsidRDefault="00D045DC" w:rsidP="00D045DC">
            <w:pPr>
              <w:spacing w:line="276" w:lineRule="auto"/>
              <w:jc w:val="right"/>
              <w:rPr>
                <w:rFonts w:cstheme="minorHAnsi"/>
              </w:rPr>
            </w:pPr>
            <w:r>
              <w:rPr>
                <w:rFonts w:ascii="Arial" w:hAnsi="Arial" w:cs="Arial"/>
                <w:color w:val="000000"/>
                <w:sz w:val="22"/>
                <w:szCs w:val="22"/>
              </w:rPr>
              <w:t>11,441</w:t>
            </w:r>
          </w:p>
        </w:tc>
        <w:tc>
          <w:tcPr>
            <w:tcW w:w="1281" w:type="pct"/>
            <w:tcBorders>
              <w:top w:val="single" w:sz="4" w:space="0" w:color="auto"/>
              <w:left w:val="nil"/>
              <w:bottom w:val="single" w:sz="4" w:space="0" w:color="auto"/>
              <w:right w:val="single" w:sz="4" w:space="0" w:color="auto"/>
            </w:tcBorders>
            <w:shd w:val="clear" w:color="auto" w:fill="auto"/>
            <w:noWrap/>
            <w:vAlign w:val="bottom"/>
          </w:tcPr>
          <w:p w14:paraId="0F5A052F" w14:textId="5FF59281" w:rsidR="00D045DC" w:rsidRPr="00803F9A" w:rsidRDefault="00D045DC" w:rsidP="00D045DC">
            <w:pPr>
              <w:spacing w:line="276" w:lineRule="auto"/>
              <w:jc w:val="right"/>
              <w:rPr>
                <w:rFonts w:cstheme="minorHAnsi"/>
              </w:rPr>
            </w:pPr>
            <w:r>
              <w:rPr>
                <w:rFonts w:ascii="Arial" w:hAnsi="Arial" w:cs="Arial"/>
                <w:color w:val="000000"/>
                <w:sz w:val="22"/>
                <w:szCs w:val="22"/>
              </w:rPr>
              <w:t>11,538</w:t>
            </w:r>
          </w:p>
        </w:tc>
        <w:tc>
          <w:tcPr>
            <w:tcW w:w="1000" w:type="pct"/>
            <w:tcBorders>
              <w:top w:val="single" w:sz="4" w:space="0" w:color="auto"/>
              <w:left w:val="nil"/>
              <w:bottom w:val="single" w:sz="4" w:space="0" w:color="auto"/>
              <w:right w:val="single" w:sz="4" w:space="0" w:color="auto"/>
            </w:tcBorders>
            <w:shd w:val="clear" w:color="auto" w:fill="auto"/>
            <w:noWrap/>
            <w:vAlign w:val="bottom"/>
          </w:tcPr>
          <w:p w14:paraId="0B85A56F" w14:textId="4F4902EF" w:rsidR="00D045DC" w:rsidRPr="00803F9A" w:rsidRDefault="00D045DC" w:rsidP="00D045DC">
            <w:pPr>
              <w:spacing w:line="276" w:lineRule="auto"/>
              <w:jc w:val="right"/>
              <w:rPr>
                <w:rFonts w:cstheme="minorHAnsi"/>
              </w:rPr>
            </w:pPr>
            <w:r>
              <w:rPr>
                <w:rFonts w:ascii="Arial" w:hAnsi="Arial" w:cs="Arial"/>
                <w:color w:val="000000"/>
                <w:sz w:val="22"/>
                <w:szCs w:val="22"/>
              </w:rPr>
              <w:t>0.8%</w:t>
            </w:r>
          </w:p>
        </w:tc>
      </w:tr>
      <w:tr w:rsidR="00D045DC" w:rsidRPr="003A5666" w14:paraId="246CCA1E" w14:textId="77777777" w:rsidTr="00D045DC">
        <w:trPr>
          <w:trHeight w:val="288"/>
        </w:trPr>
        <w:tc>
          <w:tcPr>
            <w:tcW w:w="1653" w:type="pct"/>
            <w:tcBorders>
              <w:top w:val="nil"/>
              <w:left w:val="single" w:sz="8" w:space="0" w:color="auto"/>
              <w:bottom w:val="single" w:sz="4" w:space="0" w:color="auto"/>
              <w:right w:val="single" w:sz="4" w:space="0" w:color="auto"/>
            </w:tcBorders>
            <w:shd w:val="clear" w:color="auto" w:fill="auto"/>
            <w:noWrap/>
            <w:vAlign w:val="center"/>
            <w:hideMark/>
          </w:tcPr>
          <w:p w14:paraId="203123A8" w14:textId="77777777" w:rsidR="00D045DC" w:rsidRPr="00803F9A" w:rsidRDefault="00D045DC" w:rsidP="00D045DC">
            <w:pPr>
              <w:spacing w:line="276" w:lineRule="auto"/>
              <w:jc w:val="both"/>
            </w:pPr>
            <w:r w:rsidRPr="00803F9A">
              <w:t xml:space="preserve">Shared ownership </w:t>
            </w:r>
          </w:p>
        </w:tc>
        <w:tc>
          <w:tcPr>
            <w:tcW w:w="1066" w:type="pct"/>
            <w:tcBorders>
              <w:top w:val="nil"/>
              <w:left w:val="single" w:sz="4" w:space="0" w:color="auto"/>
              <w:bottom w:val="single" w:sz="4" w:space="0" w:color="auto"/>
              <w:right w:val="single" w:sz="4" w:space="0" w:color="auto"/>
            </w:tcBorders>
            <w:shd w:val="clear" w:color="auto" w:fill="auto"/>
            <w:noWrap/>
            <w:vAlign w:val="bottom"/>
          </w:tcPr>
          <w:p w14:paraId="1831AC91" w14:textId="59302730" w:rsidR="00D045DC" w:rsidRPr="00803F9A" w:rsidRDefault="00D045DC" w:rsidP="00D045DC">
            <w:pPr>
              <w:spacing w:line="276" w:lineRule="auto"/>
              <w:jc w:val="right"/>
              <w:rPr>
                <w:rFonts w:cstheme="minorHAnsi"/>
              </w:rPr>
            </w:pPr>
            <w:r>
              <w:rPr>
                <w:rFonts w:ascii="Arial" w:hAnsi="Arial" w:cs="Arial"/>
                <w:color w:val="000000"/>
                <w:sz w:val="22"/>
                <w:szCs w:val="22"/>
              </w:rPr>
              <w:t>29</w:t>
            </w:r>
          </w:p>
        </w:tc>
        <w:tc>
          <w:tcPr>
            <w:tcW w:w="1281" w:type="pct"/>
            <w:tcBorders>
              <w:top w:val="nil"/>
              <w:left w:val="nil"/>
              <w:bottom w:val="single" w:sz="4" w:space="0" w:color="auto"/>
              <w:right w:val="single" w:sz="4" w:space="0" w:color="auto"/>
            </w:tcBorders>
            <w:shd w:val="clear" w:color="auto" w:fill="auto"/>
            <w:noWrap/>
            <w:vAlign w:val="bottom"/>
          </w:tcPr>
          <w:p w14:paraId="44B5E38F" w14:textId="1A1936C2" w:rsidR="00D045DC" w:rsidRPr="00803F9A" w:rsidRDefault="00D045DC" w:rsidP="00D045DC">
            <w:pPr>
              <w:spacing w:line="276" w:lineRule="auto"/>
              <w:jc w:val="right"/>
              <w:rPr>
                <w:rFonts w:cstheme="minorHAnsi"/>
              </w:rPr>
            </w:pPr>
            <w:r>
              <w:rPr>
                <w:rFonts w:ascii="Arial" w:hAnsi="Arial" w:cs="Arial"/>
                <w:color w:val="000000"/>
                <w:sz w:val="22"/>
                <w:szCs w:val="22"/>
              </w:rPr>
              <w:t>43</w:t>
            </w:r>
          </w:p>
        </w:tc>
        <w:tc>
          <w:tcPr>
            <w:tcW w:w="1000" w:type="pct"/>
            <w:tcBorders>
              <w:top w:val="nil"/>
              <w:left w:val="nil"/>
              <w:bottom w:val="single" w:sz="4" w:space="0" w:color="auto"/>
              <w:right w:val="single" w:sz="4" w:space="0" w:color="auto"/>
            </w:tcBorders>
            <w:shd w:val="clear" w:color="auto" w:fill="auto"/>
            <w:noWrap/>
            <w:vAlign w:val="bottom"/>
          </w:tcPr>
          <w:p w14:paraId="10E7B739" w14:textId="12145001" w:rsidR="00D045DC" w:rsidRPr="00803F9A" w:rsidRDefault="00D045DC" w:rsidP="00D045DC">
            <w:pPr>
              <w:spacing w:line="276" w:lineRule="auto"/>
              <w:jc w:val="right"/>
              <w:rPr>
                <w:rFonts w:cstheme="minorHAnsi"/>
              </w:rPr>
            </w:pPr>
            <w:r>
              <w:rPr>
                <w:rFonts w:ascii="Arial" w:hAnsi="Arial" w:cs="Arial"/>
                <w:color w:val="000000"/>
                <w:sz w:val="22"/>
                <w:szCs w:val="22"/>
              </w:rPr>
              <w:t>48.3%</w:t>
            </w:r>
          </w:p>
        </w:tc>
      </w:tr>
      <w:tr w:rsidR="00D045DC" w:rsidRPr="009F7639" w14:paraId="13816444" w14:textId="77777777" w:rsidTr="00D045DC">
        <w:trPr>
          <w:trHeight w:val="288"/>
        </w:trPr>
        <w:tc>
          <w:tcPr>
            <w:tcW w:w="1653" w:type="pct"/>
            <w:tcBorders>
              <w:top w:val="nil"/>
              <w:left w:val="single" w:sz="8" w:space="0" w:color="auto"/>
              <w:bottom w:val="single" w:sz="4" w:space="0" w:color="auto"/>
              <w:right w:val="single" w:sz="4" w:space="0" w:color="auto"/>
            </w:tcBorders>
            <w:shd w:val="clear" w:color="auto" w:fill="auto"/>
            <w:noWrap/>
            <w:vAlign w:val="center"/>
            <w:hideMark/>
          </w:tcPr>
          <w:p w14:paraId="7C92B484" w14:textId="1416E91A" w:rsidR="00D045DC" w:rsidRPr="00803F9A" w:rsidRDefault="00D045DC" w:rsidP="00D045DC">
            <w:pPr>
              <w:spacing w:line="276" w:lineRule="auto"/>
              <w:jc w:val="both"/>
            </w:pPr>
            <w:r w:rsidRPr="00803F9A">
              <w:t>Social rented</w:t>
            </w:r>
          </w:p>
        </w:tc>
        <w:tc>
          <w:tcPr>
            <w:tcW w:w="1066" w:type="pct"/>
            <w:tcBorders>
              <w:top w:val="nil"/>
              <w:left w:val="single" w:sz="4" w:space="0" w:color="auto"/>
              <w:bottom w:val="single" w:sz="4" w:space="0" w:color="auto"/>
              <w:right w:val="single" w:sz="4" w:space="0" w:color="auto"/>
            </w:tcBorders>
            <w:shd w:val="clear" w:color="auto" w:fill="auto"/>
            <w:noWrap/>
            <w:vAlign w:val="bottom"/>
          </w:tcPr>
          <w:p w14:paraId="23242111" w14:textId="577D14F1" w:rsidR="00D045DC" w:rsidRPr="00803F9A" w:rsidRDefault="00D045DC" w:rsidP="00D045DC">
            <w:pPr>
              <w:spacing w:line="276" w:lineRule="auto"/>
              <w:jc w:val="right"/>
              <w:rPr>
                <w:rFonts w:cstheme="minorHAnsi"/>
              </w:rPr>
            </w:pPr>
            <w:r>
              <w:rPr>
                <w:rFonts w:ascii="Arial" w:hAnsi="Arial" w:cs="Arial"/>
                <w:color w:val="000000"/>
                <w:sz w:val="22"/>
                <w:szCs w:val="22"/>
              </w:rPr>
              <w:t>2</w:t>
            </w:r>
            <w:r w:rsidR="00ED7849">
              <w:rPr>
                <w:rFonts w:ascii="Arial" w:hAnsi="Arial" w:cs="Arial"/>
                <w:color w:val="000000"/>
                <w:sz w:val="22"/>
                <w:szCs w:val="22"/>
              </w:rPr>
              <w:t>,</w:t>
            </w:r>
            <w:r>
              <w:rPr>
                <w:rFonts w:ascii="Arial" w:hAnsi="Arial" w:cs="Arial"/>
                <w:color w:val="000000"/>
                <w:sz w:val="22"/>
                <w:szCs w:val="22"/>
              </w:rPr>
              <w:t>631</w:t>
            </w:r>
          </w:p>
        </w:tc>
        <w:tc>
          <w:tcPr>
            <w:tcW w:w="1281" w:type="pct"/>
            <w:tcBorders>
              <w:top w:val="nil"/>
              <w:left w:val="nil"/>
              <w:bottom w:val="single" w:sz="4" w:space="0" w:color="auto"/>
              <w:right w:val="single" w:sz="4" w:space="0" w:color="auto"/>
            </w:tcBorders>
            <w:shd w:val="clear" w:color="auto" w:fill="auto"/>
            <w:noWrap/>
            <w:vAlign w:val="bottom"/>
          </w:tcPr>
          <w:p w14:paraId="3C155F6B" w14:textId="23587F29" w:rsidR="00D045DC" w:rsidRPr="00803F9A" w:rsidRDefault="00D045DC" w:rsidP="00D045DC">
            <w:pPr>
              <w:spacing w:line="276" w:lineRule="auto"/>
              <w:jc w:val="right"/>
              <w:rPr>
                <w:rFonts w:cstheme="minorHAnsi"/>
              </w:rPr>
            </w:pPr>
            <w:r>
              <w:rPr>
                <w:rFonts w:ascii="Arial" w:hAnsi="Arial" w:cs="Arial"/>
                <w:color w:val="000000"/>
                <w:sz w:val="22"/>
                <w:szCs w:val="22"/>
              </w:rPr>
              <w:t>2,797</w:t>
            </w:r>
          </w:p>
        </w:tc>
        <w:tc>
          <w:tcPr>
            <w:tcW w:w="1000" w:type="pct"/>
            <w:tcBorders>
              <w:top w:val="nil"/>
              <w:left w:val="nil"/>
              <w:bottom w:val="single" w:sz="4" w:space="0" w:color="auto"/>
              <w:right w:val="single" w:sz="4" w:space="0" w:color="auto"/>
            </w:tcBorders>
            <w:shd w:val="clear" w:color="auto" w:fill="auto"/>
            <w:noWrap/>
            <w:vAlign w:val="bottom"/>
          </w:tcPr>
          <w:p w14:paraId="1AFA6856" w14:textId="184D0EA1" w:rsidR="00D045DC" w:rsidRPr="00803F9A" w:rsidRDefault="00D045DC" w:rsidP="00D045DC">
            <w:pPr>
              <w:spacing w:line="276" w:lineRule="auto"/>
              <w:jc w:val="right"/>
              <w:rPr>
                <w:rFonts w:cstheme="minorHAnsi"/>
              </w:rPr>
            </w:pPr>
            <w:r>
              <w:rPr>
                <w:rFonts w:ascii="Arial" w:hAnsi="Arial" w:cs="Arial"/>
                <w:color w:val="000000"/>
                <w:sz w:val="22"/>
                <w:szCs w:val="22"/>
              </w:rPr>
              <w:t>6.3%</w:t>
            </w:r>
          </w:p>
        </w:tc>
      </w:tr>
      <w:tr w:rsidR="00D045DC" w:rsidRPr="009F7639" w14:paraId="744F1C7F" w14:textId="77777777" w:rsidTr="00D045DC">
        <w:trPr>
          <w:trHeight w:val="300"/>
        </w:trPr>
        <w:tc>
          <w:tcPr>
            <w:tcW w:w="1653" w:type="pct"/>
            <w:tcBorders>
              <w:top w:val="nil"/>
              <w:left w:val="single" w:sz="8" w:space="0" w:color="auto"/>
              <w:bottom w:val="single" w:sz="8" w:space="0" w:color="auto"/>
              <w:right w:val="single" w:sz="4" w:space="0" w:color="auto"/>
            </w:tcBorders>
            <w:shd w:val="clear" w:color="auto" w:fill="auto"/>
            <w:noWrap/>
            <w:vAlign w:val="center"/>
            <w:hideMark/>
          </w:tcPr>
          <w:p w14:paraId="65F040F2" w14:textId="6B5B39CB" w:rsidR="00D045DC" w:rsidRPr="00803F9A" w:rsidRDefault="00D045DC" w:rsidP="00D045DC">
            <w:pPr>
              <w:spacing w:line="276" w:lineRule="auto"/>
              <w:jc w:val="both"/>
            </w:pPr>
            <w:r w:rsidRPr="00803F9A">
              <w:t>Private rented</w:t>
            </w:r>
          </w:p>
        </w:tc>
        <w:tc>
          <w:tcPr>
            <w:tcW w:w="1066" w:type="pct"/>
            <w:tcBorders>
              <w:top w:val="nil"/>
              <w:left w:val="single" w:sz="4" w:space="0" w:color="auto"/>
              <w:bottom w:val="single" w:sz="4" w:space="0" w:color="auto"/>
              <w:right w:val="single" w:sz="4" w:space="0" w:color="auto"/>
            </w:tcBorders>
            <w:shd w:val="clear" w:color="auto" w:fill="auto"/>
            <w:noWrap/>
            <w:vAlign w:val="bottom"/>
          </w:tcPr>
          <w:p w14:paraId="4CF85F40" w14:textId="749944AE" w:rsidR="00D045DC" w:rsidRPr="00803F9A" w:rsidRDefault="00D045DC" w:rsidP="00D045DC">
            <w:pPr>
              <w:spacing w:line="276" w:lineRule="auto"/>
              <w:jc w:val="right"/>
              <w:rPr>
                <w:rFonts w:cstheme="minorHAnsi"/>
              </w:rPr>
            </w:pPr>
            <w:r>
              <w:rPr>
                <w:rFonts w:ascii="Arial" w:hAnsi="Arial" w:cs="Arial"/>
                <w:color w:val="000000"/>
                <w:sz w:val="22"/>
                <w:szCs w:val="22"/>
              </w:rPr>
              <w:t>2</w:t>
            </w:r>
            <w:r w:rsidR="00ED7849">
              <w:rPr>
                <w:rFonts w:ascii="Arial" w:hAnsi="Arial" w:cs="Arial"/>
                <w:color w:val="000000"/>
                <w:sz w:val="22"/>
                <w:szCs w:val="22"/>
              </w:rPr>
              <w:t>,</w:t>
            </w:r>
            <w:r>
              <w:rPr>
                <w:rFonts w:ascii="Arial" w:hAnsi="Arial" w:cs="Arial"/>
                <w:color w:val="000000"/>
                <w:sz w:val="22"/>
                <w:szCs w:val="22"/>
              </w:rPr>
              <w:t>312</w:t>
            </w:r>
          </w:p>
        </w:tc>
        <w:tc>
          <w:tcPr>
            <w:tcW w:w="1281" w:type="pct"/>
            <w:tcBorders>
              <w:top w:val="nil"/>
              <w:left w:val="nil"/>
              <w:bottom w:val="single" w:sz="4" w:space="0" w:color="auto"/>
              <w:right w:val="single" w:sz="4" w:space="0" w:color="auto"/>
            </w:tcBorders>
            <w:shd w:val="clear" w:color="auto" w:fill="auto"/>
            <w:noWrap/>
            <w:vAlign w:val="bottom"/>
          </w:tcPr>
          <w:p w14:paraId="6F6B0432" w14:textId="19E88646" w:rsidR="00D045DC" w:rsidRPr="00803F9A" w:rsidRDefault="00D045DC" w:rsidP="00D045DC">
            <w:pPr>
              <w:spacing w:line="276" w:lineRule="auto"/>
              <w:jc w:val="right"/>
              <w:rPr>
                <w:rFonts w:cstheme="minorHAnsi"/>
              </w:rPr>
            </w:pPr>
            <w:r>
              <w:rPr>
                <w:rFonts w:ascii="Arial" w:hAnsi="Arial" w:cs="Arial"/>
                <w:color w:val="000000"/>
                <w:sz w:val="22"/>
                <w:szCs w:val="22"/>
              </w:rPr>
              <w:t>3,105</w:t>
            </w:r>
          </w:p>
        </w:tc>
        <w:tc>
          <w:tcPr>
            <w:tcW w:w="1000" w:type="pct"/>
            <w:tcBorders>
              <w:top w:val="nil"/>
              <w:left w:val="nil"/>
              <w:bottom w:val="single" w:sz="4" w:space="0" w:color="auto"/>
              <w:right w:val="single" w:sz="4" w:space="0" w:color="auto"/>
            </w:tcBorders>
            <w:shd w:val="clear" w:color="auto" w:fill="auto"/>
            <w:noWrap/>
            <w:vAlign w:val="bottom"/>
          </w:tcPr>
          <w:p w14:paraId="778CEC38" w14:textId="649C4984" w:rsidR="00D045DC" w:rsidRPr="00803F9A" w:rsidRDefault="00D045DC" w:rsidP="00D045DC">
            <w:pPr>
              <w:spacing w:line="276" w:lineRule="auto"/>
              <w:jc w:val="right"/>
              <w:rPr>
                <w:rFonts w:cstheme="minorHAnsi"/>
              </w:rPr>
            </w:pPr>
            <w:r>
              <w:rPr>
                <w:rFonts w:ascii="Arial" w:hAnsi="Arial" w:cs="Arial"/>
                <w:color w:val="000000"/>
                <w:sz w:val="22"/>
                <w:szCs w:val="22"/>
              </w:rPr>
              <w:t>34.3%</w:t>
            </w:r>
          </w:p>
        </w:tc>
      </w:tr>
    </w:tbl>
    <w:p w14:paraId="1A053398" w14:textId="3E646397" w:rsidR="008129C3" w:rsidRDefault="00032207" w:rsidP="00252C91">
      <w:pPr>
        <w:pStyle w:val="Source"/>
        <w:jc w:val="both"/>
      </w:pPr>
      <w:r>
        <w:t>S</w:t>
      </w:r>
      <w:r w:rsidR="008129C3" w:rsidRPr="009F7639">
        <w:t>ource</w:t>
      </w:r>
      <w:r w:rsidR="008129C3">
        <w:t>s</w:t>
      </w:r>
      <w:r w:rsidR="008129C3" w:rsidRPr="009F7639">
        <w:t>: Census 20</w:t>
      </w:r>
      <w:r w:rsidR="00A13A42">
        <w:t>21 and 20</w:t>
      </w:r>
      <w:r w:rsidR="008129C3" w:rsidRPr="009F7639">
        <w:t>11, AECOM Calculations</w:t>
      </w:r>
    </w:p>
    <w:p w14:paraId="549900A5" w14:textId="77777777" w:rsidR="008129C3" w:rsidRPr="00764F1A" w:rsidRDefault="008129C3" w:rsidP="00252C91">
      <w:pPr>
        <w:pStyle w:val="Heading2"/>
        <w:jc w:val="both"/>
        <w:rPr>
          <w:color w:val="auto"/>
        </w:rPr>
      </w:pPr>
      <w:bookmarkStart w:id="82" w:name="_Toc500759110"/>
      <w:bookmarkStart w:id="83" w:name="_Toc521491990"/>
      <w:bookmarkStart w:id="84" w:name="_Toc536797444"/>
      <w:bookmarkStart w:id="85" w:name="_Toc2690275"/>
      <w:bookmarkStart w:id="86" w:name="_Toc31722645"/>
      <w:bookmarkStart w:id="87" w:name="_Toc102731853"/>
      <w:r w:rsidRPr="00764F1A">
        <w:rPr>
          <w:color w:val="auto"/>
        </w:rPr>
        <w:lastRenderedPageBreak/>
        <w:t>Affordability</w:t>
      </w:r>
      <w:bookmarkEnd w:id="82"/>
      <w:bookmarkEnd w:id="83"/>
      <w:bookmarkEnd w:id="84"/>
      <w:bookmarkEnd w:id="85"/>
      <w:bookmarkEnd w:id="86"/>
      <w:bookmarkEnd w:id="87"/>
    </w:p>
    <w:p w14:paraId="4F44CEE1" w14:textId="1DC17D02" w:rsidR="00032207" w:rsidRPr="00764F1A" w:rsidRDefault="008129C3" w:rsidP="00252C91">
      <w:pPr>
        <w:pStyle w:val="Heading3"/>
        <w:jc w:val="both"/>
        <w:rPr>
          <w:color w:val="auto"/>
        </w:rPr>
      </w:pPr>
      <w:bookmarkStart w:id="88" w:name="_Toc31722646"/>
      <w:bookmarkStart w:id="89" w:name="_Toc102731854"/>
      <w:r w:rsidRPr="00764F1A">
        <w:rPr>
          <w:color w:val="auto"/>
        </w:rPr>
        <w:t>House prices</w:t>
      </w:r>
      <w:bookmarkEnd w:id="88"/>
      <w:bookmarkEnd w:id="89"/>
    </w:p>
    <w:p w14:paraId="56643B33" w14:textId="672E9C01" w:rsidR="001648C2" w:rsidRPr="00FC6769" w:rsidRDefault="008129C3" w:rsidP="00252C91">
      <w:pPr>
        <w:pStyle w:val="Numberedtext"/>
        <w:jc w:val="both"/>
      </w:pPr>
      <w:r w:rsidRPr="00764F1A">
        <w:t xml:space="preserve">House prices provide an indication of the level of demand for homes within an area. The relationship between house prices and incomes determines whether housing is affordable to local households and, to a large extent, what tenure, type and size of home they occupy. Changes in affordability over time can indicate pressures in the housing market. As such, it is useful </w:t>
      </w:r>
      <w:proofErr w:type="gramStart"/>
      <w:r w:rsidRPr="00764F1A">
        <w:t>for</w:t>
      </w:r>
      <w:proofErr w:type="gramEnd"/>
      <w:r w:rsidRPr="00764F1A">
        <w:t xml:space="preserve"> the evidence base for plans to examine trends in prices and consider what </w:t>
      </w:r>
      <w:proofErr w:type="gramStart"/>
      <w:r w:rsidRPr="00764F1A">
        <w:t xml:space="preserve">this </w:t>
      </w:r>
      <w:r w:rsidRPr="00FC6769">
        <w:t>reveals</w:t>
      </w:r>
      <w:proofErr w:type="gramEnd"/>
      <w:r w:rsidRPr="00FC6769">
        <w:t xml:space="preserve"> about the local housing market. </w:t>
      </w:r>
    </w:p>
    <w:p w14:paraId="3930ACAA" w14:textId="2A15C5BE" w:rsidR="00C54931" w:rsidRPr="00FC6769" w:rsidRDefault="004D2A8B" w:rsidP="00252C91">
      <w:pPr>
        <w:pStyle w:val="Numberedtext"/>
        <w:jc w:val="both"/>
      </w:pPr>
      <w:r w:rsidRPr="00FC6769">
        <w:t xml:space="preserve">Figure </w:t>
      </w:r>
      <w:r w:rsidR="00C54931" w:rsidRPr="00FC6769">
        <w:t>4-1</w:t>
      </w:r>
      <w:r w:rsidR="008129C3" w:rsidRPr="00FC6769">
        <w:t xml:space="preserve"> looks at</w:t>
      </w:r>
      <w:r w:rsidR="000E662F" w:rsidRPr="00FC6769">
        <w:t xml:space="preserve"> the average and lower quartile house prices in </w:t>
      </w:r>
      <w:r w:rsidR="00D143F2" w:rsidRPr="00FC6769">
        <w:t>Consett</w:t>
      </w:r>
      <w:r w:rsidR="000E662F" w:rsidRPr="00FC6769">
        <w:t xml:space="preserve"> based on sales price data published by the Land Registry</w:t>
      </w:r>
      <w:r w:rsidR="008129C3" w:rsidRPr="00FC6769">
        <w:t xml:space="preserve">. It shows that </w:t>
      </w:r>
      <w:r w:rsidR="00DD0FBB" w:rsidRPr="00FC6769">
        <w:t>median house prices, which represent the middle number when the data is sorted from smallest to largest, have experienced relatively</w:t>
      </w:r>
      <w:r w:rsidR="0089787E" w:rsidRPr="00FC6769">
        <w:t xml:space="preserve"> steady upward growth over the last decade. </w:t>
      </w:r>
    </w:p>
    <w:p w14:paraId="32027CAF" w14:textId="1CE33D23" w:rsidR="0089787E" w:rsidRPr="00FC6769" w:rsidRDefault="0089787E" w:rsidP="00252C91">
      <w:pPr>
        <w:pStyle w:val="Numberedtext"/>
        <w:jc w:val="both"/>
      </w:pPr>
      <w:r w:rsidRPr="00FC6769">
        <w:t xml:space="preserve">The current median price in Consett is £128,000, which is </w:t>
      </w:r>
      <w:r w:rsidR="00A15BD8" w:rsidRPr="00FC6769">
        <w:t xml:space="preserve">22% higher than the median price in 2014. The graph shows that the current mean is higher </w:t>
      </w:r>
      <w:r w:rsidR="009962F3" w:rsidRPr="00FC6769">
        <w:t>than the median</w:t>
      </w:r>
      <w:r w:rsidR="006A2419" w:rsidRPr="00FC6769">
        <w:t xml:space="preserve">, which currently sits at £155,000 and is 14% </w:t>
      </w:r>
      <w:r w:rsidR="00C80DAE" w:rsidRPr="00FC6769">
        <w:t xml:space="preserve">higher than it was in 2014. </w:t>
      </w:r>
      <w:r w:rsidR="00EA5EF3" w:rsidRPr="00FC6769">
        <w:t xml:space="preserve">Because the mean reflects every transaction in the sample </w:t>
      </w:r>
      <w:r w:rsidR="00640DB5" w:rsidRPr="00FC6769">
        <w:t xml:space="preserve">there is potential for outlaying data to skew the overall result (which is usually higher than the median). This can be seen in Figure 4-1, where the mean consistently sits above the mean. </w:t>
      </w:r>
    </w:p>
    <w:p w14:paraId="4EF9331B" w14:textId="1A310A46" w:rsidR="009E1AC7" w:rsidRPr="00FC6769" w:rsidRDefault="009E1AC7" w:rsidP="00252C91">
      <w:pPr>
        <w:pStyle w:val="Numberedtext"/>
        <w:jc w:val="both"/>
      </w:pPr>
      <w:r w:rsidRPr="00FC6769">
        <w:t>The current lower quartile (LQ) price, which is the middle figure of the lowest 50% of sales and acts as a good representation of entry level housing, stands at £</w:t>
      </w:r>
      <w:r w:rsidR="00A26E44" w:rsidRPr="00FC6769">
        <w:t xml:space="preserve">84,000 and is 12% higher than the 2013 LQ figure. </w:t>
      </w:r>
    </w:p>
    <w:p w14:paraId="18C502D0" w14:textId="21D7A6E0" w:rsidR="008129C3" w:rsidRPr="00FC6769" w:rsidRDefault="00A26E44" w:rsidP="00FC6769">
      <w:pPr>
        <w:pStyle w:val="Numberedtext"/>
        <w:jc w:val="both"/>
      </w:pPr>
      <w:r w:rsidRPr="00FC6769">
        <w:t xml:space="preserve">House prices in Consett appear </w:t>
      </w:r>
      <w:r w:rsidR="006D58AA" w:rsidRPr="00FC6769">
        <w:t xml:space="preserve">to be slightly cheaper than the </w:t>
      </w:r>
      <w:proofErr w:type="gramStart"/>
      <w:r w:rsidR="00692140">
        <w:t>county</w:t>
      </w:r>
      <w:r w:rsidR="00692140" w:rsidRPr="00FC6769">
        <w:t xml:space="preserve"> </w:t>
      </w:r>
      <w:r w:rsidR="006D58AA" w:rsidRPr="00FC6769">
        <w:t>as a whole, where</w:t>
      </w:r>
      <w:proofErr w:type="gramEnd"/>
      <w:r w:rsidR="006D58AA" w:rsidRPr="00FC6769">
        <w:t xml:space="preserve"> the 2023 median house price was £</w:t>
      </w:r>
      <w:r w:rsidR="000027C6" w:rsidRPr="00FC6769">
        <w:t xml:space="preserve">115,000. </w:t>
      </w:r>
    </w:p>
    <w:p w14:paraId="590999A3" w14:textId="635AE351" w:rsidR="008129C3" w:rsidRPr="00764F1A" w:rsidRDefault="008129C3" w:rsidP="00252C91">
      <w:pPr>
        <w:pStyle w:val="Caption"/>
        <w:jc w:val="both"/>
        <w:rPr>
          <w:color w:val="auto"/>
        </w:rPr>
      </w:pPr>
      <w:bookmarkStart w:id="90" w:name="_Ref2332387"/>
      <w:r w:rsidRPr="00FC6769">
        <w:rPr>
          <w:color w:val="auto"/>
        </w:rPr>
        <w:t>F</w:t>
      </w:r>
      <w:bookmarkEnd w:id="90"/>
      <w:r w:rsidR="004D2A8B" w:rsidRPr="00FC6769">
        <w:rPr>
          <w:color w:val="auto"/>
        </w:rPr>
        <w:t xml:space="preserve">igure </w:t>
      </w:r>
      <w:r w:rsidR="00FC6769" w:rsidRPr="00FC6769">
        <w:rPr>
          <w:color w:val="auto"/>
        </w:rPr>
        <w:t>4-1</w:t>
      </w:r>
      <w:r w:rsidRPr="00FC6769">
        <w:rPr>
          <w:color w:val="auto"/>
        </w:rPr>
        <w:t xml:space="preserve">: House prices by quartile in </w:t>
      </w:r>
      <w:r w:rsidR="00D143F2" w:rsidRPr="00FC6769">
        <w:rPr>
          <w:color w:val="auto"/>
        </w:rPr>
        <w:t>Consett</w:t>
      </w:r>
      <w:r w:rsidRPr="00FC6769">
        <w:rPr>
          <w:color w:val="auto"/>
        </w:rPr>
        <w:t>, 201</w:t>
      </w:r>
      <w:r w:rsidR="00D600B5" w:rsidRPr="00FC6769">
        <w:rPr>
          <w:color w:val="auto"/>
        </w:rPr>
        <w:t>4</w:t>
      </w:r>
      <w:r w:rsidR="00DA441D" w:rsidRPr="00FC6769">
        <w:rPr>
          <w:color w:val="auto"/>
        </w:rPr>
        <w:t>-202</w:t>
      </w:r>
      <w:r w:rsidR="00D600B5" w:rsidRPr="00FC6769">
        <w:rPr>
          <w:color w:val="auto"/>
        </w:rPr>
        <w:t>3</w:t>
      </w:r>
    </w:p>
    <w:p w14:paraId="6057E545" w14:textId="6DD0CBBB" w:rsidR="008129C3" w:rsidRPr="00D47DE9" w:rsidRDefault="00134018" w:rsidP="00252C91">
      <w:pPr>
        <w:pStyle w:val="Caption"/>
        <w:jc w:val="both"/>
        <w:rPr>
          <w:rFonts w:cstheme="minorHAnsi"/>
          <w:highlight w:val="yellow"/>
        </w:rPr>
      </w:pPr>
      <w:r>
        <w:drawing>
          <wp:inline distT="0" distB="0" distL="0" distR="0" wp14:anchorId="7E24C5A8" wp14:editId="1B507976">
            <wp:extent cx="6244590" cy="2578735"/>
            <wp:effectExtent l="0" t="0" r="3810" b="12065"/>
            <wp:docPr id="1651762728" name="Chart 1">
              <a:extLst xmlns:a="http://schemas.openxmlformats.org/drawingml/2006/main">
                <a:ext uri="{FF2B5EF4-FFF2-40B4-BE49-F238E27FC236}">
                  <a16:creationId xmlns:a16="http://schemas.microsoft.com/office/drawing/2014/main" id="{20E957B9-71A0-4323-B3AA-6C1202F3E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0366DA" w14:textId="77777777" w:rsidR="008129C3" w:rsidRPr="004B77D6" w:rsidRDefault="008129C3" w:rsidP="00252C91">
      <w:pPr>
        <w:pStyle w:val="Source"/>
        <w:jc w:val="both"/>
      </w:pPr>
      <w:r w:rsidRPr="004B77D6">
        <w:t>Source: Land Registry PPD</w:t>
      </w:r>
    </w:p>
    <w:p w14:paraId="559804A1" w14:textId="2336D64E" w:rsidR="00290C33" w:rsidRPr="001506E6" w:rsidRDefault="004D2A8B" w:rsidP="00252C91">
      <w:pPr>
        <w:pStyle w:val="Numberedtext"/>
        <w:jc w:val="both"/>
      </w:pPr>
      <w:r w:rsidRPr="001506E6">
        <w:t xml:space="preserve">Table </w:t>
      </w:r>
      <w:r w:rsidR="001506E6" w:rsidRPr="001506E6">
        <w:t>4-3</w:t>
      </w:r>
      <w:r w:rsidR="008129C3" w:rsidRPr="001506E6">
        <w:t xml:space="preserve"> breaks down house prices by type</w:t>
      </w:r>
      <w:r w:rsidR="00CB1495" w:rsidRPr="001506E6">
        <w:t>, presenting the median within each type</w:t>
      </w:r>
      <w:r w:rsidR="008129C3" w:rsidRPr="001506E6">
        <w:t xml:space="preserve">. It shows that </w:t>
      </w:r>
      <w:r w:rsidR="002A49DB" w:rsidRPr="001506E6">
        <w:t>detached</w:t>
      </w:r>
      <w:r w:rsidR="009D4BFC" w:rsidRPr="001506E6">
        <w:t xml:space="preserve"> dwellings have appreciated in price faster than other housing types (+</w:t>
      </w:r>
      <w:r w:rsidR="007E27C6" w:rsidRPr="001506E6">
        <w:t xml:space="preserve">44%), </w:t>
      </w:r>
      <w:r w:rsidR="00EA15B7" w:rsidRPr="001506E6">
        <w:t xml:space="preserve">with </w:t>
      </w:r>
      <w:r w:rsidR="007E27C6" w:rsidRPr="001506E6">
        <w:t>semi-detached (27%) and terraced (</w:t>
      </w:r>
      <w:r w:rsidR="00EA15B7" w:rsidRPr="001506E6">
        <w:t xml:space="preserve">13%) dwellings appreciating </w:t>
      </w:r>
      <w:r w:rsidR="00EA15B7" w:rsidRPr="001506E6">
        <w:lastRenderedPageBreak/>
        <w:t>at a much slower rate</w:t>
      </w:r>
      <w:r w:rsidR="002A49DB" w:rsidRPr="001506E6">
        <w:t xml:space="preserve">. </w:t>
      </w:r>
      <w:r w:rsidR="009C60BD" w:rsidRPr="001506E6">
        <w:t xml:space="preserve">It is also worth noting that detached dwellings are almost twice as expensive as </w:t>
      </w:r>
      <w:r w:rsidR="003123E2" w:rsidRPr="001506E6">
        <w:t xml:space="preserve">other dwelling types recorded in the table. </w:t>
      </w:r>
    </w:p>
    <w:p w14:paraId="2B709A45" w14:textId="4A6715F0" w:rsidR="003123E2" w:rsidRPr="001506E6" w:rsidRDefault="003123E2" w:rsidP="00252C91">
      <w:pPr>
        <w:pStyle w:val="Numberedtext"/>
        <w:jc w:val="both"/>
      </w:pPr>
      <w:r w:rsidRPr="001506E6">
        <w:t xml:space="preserve">Another striking point from the table, is that flats appear </w:t>
      </w:r>
      <w:r w:rsidR="002F4C5E" w:rsidRPr="001506E6">
        <w:t xml:space="preserve">to be notably less expensive (-27%) </w:t>
      </w:r>
      <w:r w:rsidR="00810CB9" w:rsidRPr="001506E6">
        <w:t xml:space="preserve">than they were in 2014. However, when looking at the other </w:t>
      </w:r>
      <w:r w:rsidR="001506E6" w:rsidRPr="001506E6">
        <w:t>date points in the table the 2023 average cost of flats in Consett appears in line with the other dates recorded, with the high</w:t>
      </w:r>
      <w:r w:rsidR="005A39E6">
        <w:t>er</w:t>
      </w:r>
      <w:r w:rsidR="001506E6" w:rsidRPr="001506E6">
        <w:t xml:space="preserve"> </w:t>
      </w:r>
      <w:r w:rsidR="005A39E6">
        <w:t>average price recorded</w:t>
      </w:r>
      <w:r w:rsidR="001506E6" w:rsidRPr="001506E6">
        <w:t xml:space="preserve"> in 2014 appearing as an anomaly. </w:t>
      </w:r>
    </w:p>
    <w:p w14:paraId="29A01284" w14:textId="7CA41475" w:rsidR="008129C3" w:rsidRPr="00764F1A" w:rsidRDefault="008129C3" w:rsidP="00252C91">
      <w:pPr>
        <w:pStyle w:val="Caption"/>
        <w:jc w:val="both"/>
        <w:rPr>
          <w:color w:val="auto"/>
        </w:rPr>
      </w:pPr>
      <w:bookmarkStart w:id="91" w:name="_Ref2333252"/>
      <w:r w:rsidRPr="001506E6">
        <w:rPr>
          <w:color w:val="auto"/>
        </w:rPr>
        <w:t>Ta</w:t>
      </w:r>
      <w:bookmarkEnd w:id="91"/>
      <w:r w:rsidR="004D2A8B" w:rsidRPr="001506E6">
        <w:rPr>
          <w:color w:val="auto"/>
        </w:rPr>
        <w:t xml:space="preserve">ble </w:t>
      </w:r>
      <w:r w:rsidR="001506E6" w:rsidRPr="001506E6">
        <w:rPr>
          <w:color w:val="auto"/>
        </w:rPr>
        <w:t>4-3</w:t>
      </w:r>
      <w:r w:rsidRPr="001506E6">
        <w:rPr>
          <w:color w:val="auto"/>
        </w:rPr>
        <w:t xml:space="preserve">: </w:t>
      </w:r>
      <w:r w:rsidR="00CB1495" w:rsidRPr="001506E6">
        <w:rPr>
          <w:color w:val="auto"/>
        </w:rPr>
        <w:t>Median h</w:t>
      </w:r>
      <w:r w:rsidRPr="001506E6">
        <w:rPr>
          <w:color w:val="auto"/>
        </w:rPr>
        <w:t xml:space="preserve">ouse prices by type in </w:t>
      </w:r>
      <w:r w:rsidR="00D143F2" w:rsidRPr="001506E6">
        <w:rPr>
          <w:color w:val="auto"/>
        </w:rPr>
        <w:t>Consett</w:t>
      </w:r>
      <w:r w:rsidRPr="001506E6">
        <w:rPr>
          <w:color w:val="auto"/>
        </w:rPr>
        <w:t>, 201</w:t>
      </w:r>
      <w:r w:rsidR="00D600B5" w:rsidRPr="001506E6">
        <w:rPr>
          <w:color w:val="auto"/>
        </w:rPr>
        <w:t>4</w:t>
      </w:r>
      <w:r w:rsidR="007D4B4F" w:rsidRPr="001506E6">
        <w:rPr>
          <w:color w:val="auto"/>
        </w:rPr>
        <w:t>-202</w:t>
      </w:r>
      <w:r w:rsidR="00D600B5" w:rsidRPr="001506E6">
        <w:rPr>
          <w:color w:val="auto"/>
        </w:rPr>
        <w:t>3</w:t>
      </w:r>
    </w:p>
    <w:tbl>
      <w:tblPr>
        <w:tblW w:w="5000" w:type="pct"/>
        <w:tblInd w:w="-10" w:type="dxa"/>
        <w:tblLayout w:type="fixed"/>
        <w:tblLook w:val="04A0" w:firstRow="1" w:lastRow="0" w:firstColumn="1" w:lastColumn="0" w:noHBand="0" w:noVBand="1"/>
      </w:tblPr>
      <w:tblGrid>
        <w:gridCol w:w="1777"/>
        <w:gridCol w:w="693"/>
        <w:gridCol w:w="691"/>
        <w:gridCol w:w="691"/>
        <w:gridCol w:w="689"/>
        <w:gridCol w:w="691"/>
        <w:gridCol w:w="693"/>
        <w:gridCol w:w="736"/>
        <w:gridCol w:w="707"/>
        <w:gridCol w:w="711"/>
        <w:gridCol w:w="746"/>
        <w:gridCol w:w="989"/>
      </w:tblGrid>
      <w:tr w:rsidR="008129C3" w:rsidRPr="00374C95" w14:paraId="0A1570A5" w14:textId="77777777" w:rsidTr="000D6154">
        <w:trPr>
          <w:trHeight w:val="288"/>
        </w:trPr>
        <w:tc>
          <w:tcPr>
            <w:tcW w:w="906" w:type="pct"/>
            <w:tcBorders>
              <w:top w:val="single" w:sz="8" w:space="0" w:color="auto"/>
              <w:left w:val="single" w:sz="8" w:space="0" w:color="auto"/>
              <w:bottom w:val="single" w:sz="4" w:space="0" w:color="auto"/>
              <w:right w:val="single" w:sz="4" w:space="0" w:color="auto"/>
            </w:tcBorders>
            <w:shd w:val="clear" w:color="auto" w:fill="000000" w:themeFill="text1"/>
            <w:noWrap/>
            <w:vAlign w:val="center"/>
          </w:tcPr>
          <w:p w14:paraId="7CF31B9B" w14:textId="77777777" w:rsidR="008129C3" w:rsidRPr="00C05756" w:rsidRDefault="008129C3" w:rsidP="00252C91">
            <w:pPr>
              <w:spacing w:line="276" w:lineRule="auto"/>
              <w:jc w:val="both"/>
              <w:rPr>
                <w:b/>
                <w:color w:val="FFFFFF" w:themeColor="background2"/>
                <w:sz w:val="16"/>
                <w:szCs w:val="16"/>
              </w:rPr>
            </w:pPr>
            <w:r w:rsidRPr="00C05756">
              <w:rPr>
                <w:b/>
                <w:color w:val="FFFFFF" w:themeColor="background2"/>
                <w:sz w:val="16"/>
                <w:szCs w:val="16"/>
              </w:rPr>
              <w:t>Type</w:t>
            </w:r>
          </w:p>
        </w:tc>
        <w:tc>
          <w:tcPr>
            <w:tcW w:w="353" w:type="pct"/>
            <w:tcBorders>
              <w:top w:val="single" w:sz="8" w:space="0" w:color="auto"/>
              <w:left w:val="nil"/>
              <w:bottom w:val="single" w:sz="4" w:space="0" w:color="auto"/>
              <w:right w:val="single" w:sz="4" w:space="0" w:color="auto"/>
            </w:tcBorders>
            <w:shd w:val="clear" w:color="auto" w:fill="000000" w:themeFill="text1"/>
            <w:noWrap/>
            <w:vAlign w:val="center"/>
          </w:tcPr>
          <w:p w14:paraId="1576F85B" w14:textId="0760D85D" w:rsidR="008129C3" w:rsidRPr="00C05756" w:rsidRDefault="008129C3" w:rsidP="00252C91">
            <w:pPr>
              <w:spacing w:line="276" w:lineRule="auto"/>
              <w:jc w:val="both"/>
              <w:rPr>
                <w:b/>
                <w:color w:val="FFFFFF" w:themeColor="background2"/>
                <w:sz w:val="16"/>
                <w:szCs w:val="16"/>
              </w:rPr>
            </w:pPr>
            <w:r w:rsidRPr="00C05756">
              <w:rPr>
                <w:b/>
                <w:color w:val="FFFFFF" w:themeColor="background2"/>
                <w:sz w:val="16"/>
                <w:szCs w:val="16"/>
              </w:rPr>
              <w:t>201</w:t>
            </w:r>
            <w:r w:rsidR="00D600B5">
              <w:rPr>
                <w:b/>
                <w:color w:val="FFFFFF" w:themeColor="background2"/>
                <w:sz w:val="16"/>
                <w:szCs w:val="16"/>
              </w:rPr>
              <w:t>4</w:t>
            </w:r>
          </w:p>
        </w:tc>
        <w:tc>
          <w:tcPr>
            <w:tcW w:w="352" w:type="pct"/>
            <w:tcBorders>
              <w:top w:val="single" w:sz="8" w:space="0" w:color="auto"/>
              <w:left w:val="nil"/>
              <w:bottom w:val="single" w:sz="4" w:space="0" w:color="auto"/>
              <w:right w:val="single" w:sz="4" w:space="0" w:color="auto"/>
            </w:tcBorders>
            <w:shd w:val="clear" w:color="auto" w:fill="000000" w:themeFill="text1"/>
            <w:noWrap/>
            <w:vAlign w:val="center"/>
          </w:tcPr>
          <w:p w14:paraId="10227608" w14:textId="13AAC5F7" w:rsidR="008129C3" w:rsidRPr="00C05756" w:rsidRDefault="00D600B5" w:rsidP="00252C91">
            <w:pPr>
              <w:spacing w:line="276" w:lineRule="auto"/>
              <w:jc w:val="both"/>
              <w:rPr>
                <w:b/>
                <w:color w:val="FFFFFF" w:themeColor="background2"/>
                <w:sz w:val="16"/>
                <w:szCs w:val="16"/>
              </w:rPr>
            </w:pPr>
            <w:r>
              <w:rPr>
                <w:b/>
                <w:color w:val="FFFFFF" w:themeColor="background2"/>
                <w:sz w:val="16"/>
                <w:szCs w:val="16"/>
              </w:rPr>
              <w:t>2015</w:t>
            </w:r>
          </w:p>
        </w:tc>
        <w:tc>
          <w:tcPr>
            <w:tcW w:w="352" w:type="pct"/>
            <w:tcBorders>
              <w:top w:val="single" w:sz="8" w:space="0" w:color="auto"/>
              <w:left w:val="nil"/>
              <w:bottom w:val="single" w:sz="4" w:space="0" w:color="auto"/>
              <w:right w:val="single" w:sz="8" w:space="0" w:color="auto"/>
            </w:tcBorders>
            <w:shd w:val="clear" w:color="auto" w:fill="000000" w:themeFill="text1"/>
            <w:noWrap/>
            <w:vAlign w:val="center"/>
          </w:tcPr>
          <w:p w14:paraId="1516C283" w14:textId="343491B8" w:rsidR="008129C3" w:rsidRPr="00C05756" w:rsidRDefault="00D600B5" w:rsidP="00252C91">
            <w:pPr>
              <w:spacing w:line="276" w:lineRule="auto"/>
              <w:jc w:val="both"/>
              <w:rPr>
                <w:b/>
                <w:color w:val="FFFFFF" w:themeColor="background2"/>
                <w:sz w:val="16"/>
                <w:szCs w:val="16"/>
              </w:rPr>
            </w:pPr>
            <w:r>
              <w:rPr>
                <w:b/>
                <w:color w:val="FFFFFF" w:themeColor="background2"/>
                <w:sz w:val="16"/>
                <w:szCs w:val="16"/>
              </w:rPr>
              <w:t>2016</w:t>
            </w:r>
          </w:p>
        </w:tc>
        <w:tc>
          <w:tcPr>
            <w:tcW w:w="351" w:type="pct"/>
            <w:tcBorders>
              <w:top w:val="single" w:sz="8" w:space="0" w:color="auto"/>
              <w:left w:val="nil"/>
              <w:bottom w:val="single" w:sz="4" w:space="0" w:color="auto"/>
              <w:right w:val="single" w:sz="8" w:space="0" w:color="auto"/>
            </w:tcBorders>
            <w:shd w:val="clear" w:color="auto" w:fill="000000" w:themeFill="text1"/>
            <w:vAlign w:val="center"/>
          </w:tcPr>
          <w:p w14:paraId="2530D882" w14:textId="52D33184" w:rsidR="008129C3" w:rsidRPr="00C05756" w:rsidRDefault="00D600B5" w:rsidP="00252C91">
            <w:pPr>
              <w:spacing w:line="276" w:lineRule="auto"/>
              <w:jc w:val="both"/>
              <w:rPr>
                <w:b/>
                <w:color w:val="FFFFFF" w:themeColor="background2"/>
                <w:sz w:val="16"/>
                <w:szCs w:val="16"/>
              </w:rPr>
            </w:pPr>
            <w:r>
              <w:rPr>
                <w:b/>
                <w:color w:val="FFFFFF" w:themeColor="background2"/>
                <w:sz w:val="16"/>
                <w:szCs w:val="16"/>
              </w:rPr>
              <w:t>2017</w:t>
            </w:r>
          </w:p>
        </w:tc>
        <w:tc>
          <w:tcPr>
            <w:tcW w:w="352" w:type="pct"/>
            <w:tcBorders>
              <w:top w:val="single" w:sz="8" w:space="0" w:color="auto"/>
              <w:left w:val="nil"/>
              <w:bottom w:val="single" w:sz="4" w:space="0" w:color="auto"/>
              <w:right w:val="single" w:sz="8" w:space="0" w:color="auto"/>
            </w:tcBorders>
            <w:shd w:val="clear" w:color="auto" w:fill="000000" w:themeFill="text1"/>
            <w:vAlign w:val="center"/>
          </w:tcPr>
          <w:p w14:paraId="5DEEC08D" w14:textId="088D4A8C" w:rsidR="008129C3" w:rsidRPr="00C05756" w:rsidRDefault="00D600B5" w:rsidP="00252C91">
            <w:pPr>
              <w:spacing w:line="276" w:lineRule="auto"/>
              <w:jc w:val="both"/>
              <w:rPr>
                <w:b/>
                <w:color w:val="FFFFFF" w:themeColor="background2"/>
                <w:sz w:val="16"/>
                <w:szCs w:val="16"/>
              </w:rPr>
            </w:pPr>
            <w:r>
              <w:rPr>
                <w:b/>
                <w:color w:val="FFFFFF" w:themeColor="background2"/>
                <w:sz w:val="16"/>
                <w:szCs w:val="16"/>
              </w:rPr>
              <w:t>2018</w:t>
            </w:r>
          </w:p>
        </w:tc>
        <w:tc>
          <w:tcPr>
            <w:tcW w:w="353" w:type="pct"/>
            <w:tcBorders>
              <w:top w:val="single" w:sz="8" w:space="0" w:color="auto"/>
              <w:left w:val="nil"/>
              <w:bottom w:val="single" w:sz="4" w:space="0" w:color="auto"/>
              <w:right w:val="single" w:sz="8" w:space="0" w:color="auto"/>
            </w:tcBorders>
            <w:shd w:val="clear" w:color="auto" w:fill="000000" w:themeFill="text1"/>
            <w:vAlign w:val="center"/>
          </w:tcPr>
          <w:p w14:paraId="2B5DCC72" w14:textId="6E8F8991" w:rsidR="008129C3" w:rsidRPr="00C05756" w:rsidRDefault="00D600B5" w:rsidP="00252C91">
            <w:pPr>
              <w:spacing w:line="276" w:lineRule="auto"/>
              <w:jc w:val="both"/>
              <w:rPr>
                <w:b/>
                <w:color w:val="FFFFFF" w:themeColor="background2"/>
                <w:sz w:val="16"/>
                <w:szCs w:val="16"/>
              </w:rPr>
            </w:pPr>
            <w:r>
              <w:rPr>
                <w:b/>
                <w:color w:val="FFFFFF" w:themeColor="background2"/>
                <w:sz w:val="16"/>
                <w:szCs w:val="16"/>
              </w:rPr>
              <w:t>2019</w:t>
            </w:r>
          </w:p>
        </w:tc>
        <w:tc>
          <w:tcPr>
            <w:tcW w:w="375" w:type="pct"/>
            <w:tcBorders>
              <w:top w:val="single" w:sz="8" w:space="0" w:color="auto"/>
              <w:left w:val="nil"/>
              <w:bottom w:val="single" w:sz="4" w:space="0" w:color="auto"/>
              <w:right w:val="single" w:sz="8" w:space="0" w:color="auto"/>
            </w:tcBorders>
            <w:shd w:val="clear" w:color="auto" w:fill="000000" w:themeFill="text1"/>
            <w:vAlign w:val="center"/>
          </w:tcPr>
          <w:p w14:paraId="4879087B" w14:textId="0A498C98" w:rsidR="008129C3" w:rsidRPr="00C05756" w:rsidRDefault="00D600B5" w:rsidP="00252C91">
            <w:pPr>
              <w:spacing w:line="276" w:lineRule="auto"/>
              <w:jc w:val="both"/>
              <w:rPr>
                <w:b/>
                <w:color w:val="FFFFFF" w:themeColor="background2"/>
                <w:sz w:val="16"/>
                <w:szCs w:val="16"/>
              </w:rPr>
            </w:pPr>
            <w:r>
              <w:rPr>
                <w:b/>
                <w:color w:val="FFFFFF" w:themeColor="background2"/>
                <w:sz w:val="16"/>
                <w:szCs w:val="16"/>
              </w:rPr>
              <w:t>2020</w:t>
            </w:r>
          </w:p>
        </w:tc>
        <w:tc>
          <w:tcPr>
            <w:tcW w:w="360" w:type="pct"/>
            <w:tcBorders>
              <w:top w:val="single" w:sz="8" w:space="0" w:color="auto"/>
              <w:left w:val="nil"/>
              <w:bottom w:val="single" w:sz="4" w:space="0" w:color="auto"/>
              <w:right w:val="single" w:sz="8" w:space="0" w:color="auto"/>
            </w:tcBorders>
            <w:shd w:val="clear" w:color="auto" w:fill="000000" w:themeFill="text1"/>
            <w:vAlign w:val="center"/>
          </w:tcPr>
          <w:p w14:paraId="66473311" w14:textId="5EBB4356" w:rsidR="008129C3" w:rsidRPr="00C05756" w:rsidRDefault="00D600B5" w:rsidP="00252C91">
            <w:pPr>
              <w:spacing w:line="276" w:lineRule="auto"/>
              <w:jc w:val="both"/>
              <w:rPr>
                <w:b/>
                <w:color w:val="FFFFFF" w:themeColor="background2"/>
                <w:sz w:val="16"/>
                <w:szCs w:val="16"/>
              </w:rPr>
            </w:pPr>
            <w:r>
              <w:rPr>
                <w:b/>
                <w:color w:val="FFFFFF" w:themeColor="background2"/>
                <w:sz w:val="16"/>
                <w:szCs w:val="16"/>
              </w:rPr>
              <w:t>2021</w:t>
            </w:r>
          </w:p>
        </w:tc>
        <w:tc>
          <w:tcPr>
            <w:tcW w:w="362" w:type="pct"/>
            <w:tcBorders>
              <w:top w:val="single" w:sz="8" w:space="0" w:color="auto"/>
              <w:left w:val="nil"/>
              <w:bottom w:val="single" w:sz="4" w:space="0" w:color="auto"/>
              <w:right w:val="single" w:sz="8" w:space="0" w:color="auto"/>
            </w:tcBorders>
            <w:shd w:val="clear" w:color="auto" w:fill="000000" w:themeFill="text1"/>
            <w:vAlign w:val="center"/>
          </w:tcPr>
          <w:p w14:paraId="547F11F4" w14:textId="4CE6FEB4" w:rsidR="008129C3" w:rsidRPr="00C05756" w:rsidRDefault="00D600B5" w:rsidP="00252C91">
            <w:pPr>
              <w:spacing w:line="276" w:lineRule="auto"/>
              <w:jc w:val="both"/>
              <w:rPr>
                <w:b/>
                <w:color w:val="FFFFFF" w:themeColor="background2"/>
                <w:sz w:val="16"/>
                <w:szCs w:val="16"/>
              </w:rPr>
            </w:pPr>
            <w:r>
              <w:rPr>
                <w:b/>
                <w:color w:val="FFFFFF" w:themeColor="background2"/>
                <w:sz w:val="16"/>
                <w:szCs w:val="16"/>
              </w:rPr>
              <w:t>2022</w:t>
            </w:r>
          </w:p>
        </w:tc>
        <w:tc>
          <w:tcPr>
            <w:tcW w:w="380" w:type="pct"/>
            <w:tcBorders>
              <w:top w:val="single" w:sz="8" w:space="0" w:color="auto"/>
              <w:left w:val="nil"/>
              <w:bottom w:val="single" w:sz="4" w:space="0" w:color="auto"/>
              <w:right w:val="single" w:sz="8" w:space="0" w:color="auto"/>
            </w:tcBorders>
            <w:shd w:val="clear" w:color="auto" w:fill="000000" w:themeFill="text1"/>
            <w:vAlign w:val="center"/>
          </w:tcPr>
          <w:p w14:paraId="29E0A45E" w14:textId="094EBA0C" w:rsidR="008129C3" w:rsidRPr="00C05756" w:rsidRDefault="00D600B5" w:rsidP="00252C91">
            <w:pPr>
              <w:spacing w:line="276" w:lineRule="auto"/>
              <w:jc w:val="both"/>
              <w:rPr>
                <w:b/>
                <w:color w:val="FFFFFF" w:themeColor="background2"/>
                <w:sz w:val="16"/>
                <w:szCs w:val="16"/>
              </w:rPr>
            </w:pPr>
            <w:r>
              <w:rPr>
                <w:b/>
                <w:color w:val="FFFFFF" w:themeColor="background2"/>
                <w:sz w:val="16"/>
                <w:szCs w:val="16"/>
              </w:rPr>
              <w:t>2023</w:t>
            </w:r>
          </w:p>
        </w:tc>
        <w:tc>
          <w:tcPr>
            <w:tcW w:w="504" w:type="pct"/>
            <w:tcBorders>
              <w:top w:val="single" w:sz="8" w:space="0" w:color="auto"/>
              <w:left w:val="nil"/>
              <w:bottom w:val="single" w:sz="4" w:space="0" w:color="auto"/>
              <w:right w:val="single" w:sz="8" w:space="0" w:color="auto"/>
            </w:tcBorders>
            <w:shd w:val="clear" w:color="auto" w:fill="000000" w:themeFill="text1"/>
            <w:vAlign w:val="center"/>
          </w:tcPr>
          <w:p w14:paraId="2A0E851D" w14:textId="77777777" w:rsidR="008129C3" w:rsidRPr="00C05756" w:rsidRDefault="008129C3" w:rsidP="00252C91">
            <w:pPr>
              <w:spacing w:line="276" w:lineRule="auto"/>
              <w:jc w:val="both"/>
              <w:rPr>
                <w:b/>
                <w:color w:val="FFFFFF" w:themeColor="background2"/>
                <w:sz w:val="16"/>
                <w:szCs w:val="16"/>
              </w:rPr>
            </w:pPr>
            <w:r w:rsidRPr="00C05756">
              <w:rPr>
                <w:b/>
                <w:color w:val="FFFFFF" w:themeColor="background2"/>
                <w:sz w:val="16"/>
                <w:szCs w:val="16"/>
              </w:rPr>
              <w:t>Growth</w:t>
            </w:r>
          </w:p>
        </w:tc>
      </w:tr>
      <w:tr w:rsidR="000D6154" w:rsidRPr="00374C95" w14:paraId="1D30845E" w14:textId="77777777" w:rsidTr="000D6154">
        <w:trPr>
          <w:trHeight w:val="288"/>
        </w:trPr>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8F2BE0" w14:textId="77777777" w:rsidR="000D6154" w:rsidRPr="00C05756" w:rsidRDefault="000D6154" w:rsidP="000D6154">
            <w:pPr>
              <w:spacing w:line="276" w:lineRule="auto"/>
              <w:jc w:val="both"/>
              <w:rPr>
                <w:sz w:val="16"/>
                <w:szCs w:val="16"/>
              </w:rPr>
            </w:pPr>
            <w:r w:rsidRPr="00C05756">
              <w:rPr>
                <w:sz w:val="16"/>
                <w:szCs w:val="16"/>
              </w:rPr>
              <w:t>Detached</w:t>
            </w:r>
          </w:p>
        </w:tc>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932A95" w14:textId="38D7E6AC" w:rsidR="000D6154" w:rsidRPr="000D6154" w:rsidRDefault="000D6154" w:rsidP="002F4C5E">
            <w:pPr>
              <w:spacing w:line="276" w:lineRule="auto"/>
              <w:jc w:val="right"/>
              <w:rPr>
                <w:sz w:val="16"/>
                <w:szCs w:val="16"/>
              </w:rPr>
            </w:pPr>
            <w:r w:rsidRPr="000D6154">
              <w:rPr>
                <w:rFonts w:ascii="Arial" w:hAnsi="Arial" w:cs="Arial"/>
                <w:color w:val="000000"/>
                <w:sz w:val="16"/>
                <w:szCs w:val="16"/>
              </w:rPr>
              <w:t>£180</w:t>
            </w:r>
            <w:r>
              <w:rPr>
                <w:rFonts w:ascii="Arial" w:hAnsi="Arial" w:cs="Arial"/>
                <w:color w:val="000000"/>
                <w:sz w:val="16"/>
                <w:szCs w:val="16"/>
              </w:rPr>
              <w:t>K</w:t>
            </w:r>
          </w:p>
        </w:tc>
        <w:tc>
          <w:tcPr>
            <w:tcW w:w="352" w:type="pct"/>
            <w:tcBorders>
              <w:top w:val="single" w:sz="4" w:space="0" w:color="auto"/>
              <w:left w:val="nil"/>
              <w:bottom w:val="single" w:sz="4" w:space="0" w:color="auto"/>
              <w:right w:val="single" w:sz="4" w:space="0" w:color="auto"/>
            </w:tcBorders>
            <w:shd w:val="clear" w:color="auto" w:fill="auto"/>
            <w:noWrap/>
            <w:vAlign w:val="center"/>
          </w:tcPr>
          <w:p w14:paraId="66D579DB" w14:textId="54FC2EC5" w:rsidR="000D6154" w:rsidRPr="000D6154" w:rsidRDefault="000D6154" w:rsidP="002F4C5E">
            <w:pPr>
              <w:spacing w:line="276" w:lineRule="auto"/>
              <w:jc w:val="right"/>
              <w:rPr>
                <w:sz w:val="16"/>
                <w:szCs w:val="16"/>
              </w:rPr>
            </w:pPr>
            <w:r w:rsidRPr="000D6154">
              <w:rPr>
                <w:rFonts w:ascii="Arial" w:hAnsi="Arial" w:cs="Arial"/>
                <w:color w:val="000000"/>
                <w:sz w:val="16"/>
                <w:szCs w:val="16"/>
              </w:rPr>
              <w:t>£183</w:t>
            </w:r>
            <w:r>
              <w:rPr>
                <w:rFonts w:ascii="Arial" w:hAnsi="Arial" w:cs="Arial"/>
                <w:color w:val="000000"/>
                <w:sz w:val="16"/>
                <w:szCs w:val="16"/>
              </w:rPr>
              <w:t>K</w:t>
            </w:r>
          </w:p>
        </w:tc>
        <w:tc>
          <w:tcPr>
            <w:tcW w:w="352" w:type="pct"/>
            <w:tcBorders>
              <w:top w:val="single" w:sz="4" w:space="0" w:color="auto"/>
              <w:left w:val="nil"/>
              <w:bottom w:val="single" w:sz="4" w:space="0" w:color="auto"/>
              <w:right w:val="single" w:sz="4" w:space="0" w:color="auto"/>
            </w:tcBorders>
            <w:shd w:val="clear" w:color="auto" w:fill="auto"/>
            <w:noWrap/>
            <w:vAlign w:val="center"/>
          </w:tcPr>
          <w:p w14:paraId="26B0BDB2" w14:textId="2B31174C" w:rsidR="000D6154" w:rsidRPr="000D6154" w:rsidRDefault="000D6154" w:rsidP="002F4C5E">
            <w:pPr>
              <w:spacing w:line="276" w:lineRule="auto"/>
              <w:jc w:val="right"/>
              <w:rPr>
                <w:sz w:val="16"/>
                <w:szCs w:val="16"/>
              </w:rPr>
            </w:pPr>
            <w:r w:rsidRPr="000D6154">
              <w:rPr>
                <w:rFonts w:ascii="Arial" w:hAnsi="Arial" w:cs="Arial"/>
                <w:color w:val="000000"/>
                <w:sz w:val="16"/>
                <w:szCs w:val="16"/>
              </w:rPr>
              <w:t>£1</w:t>
            </w:r>
            <w:r>
              <w:rPr>
                <w:rFonts w:ascii="Arial" w:hAnsi="Arial" w:cs="Arial"/>
                <w:color w:val="000000"/>
                <w:sz w:val="16"/>
                <w:szCs w:val="16"/>
              </w:rPr>
              <w:t>80K</w:t>
            </w:r>
          </w:p>
        </w:tc>
        <w:tc>
          <w:tcPr>
            <w:tcW w:w="351" w:type="pct"/>
            <w:tcBorders>
              <w:top w:val="single" w:sz="4" w:space="0" w:color="auto"/>
              <w:left w:val="nil"/>
              <w:bottom w:val="single" w:sz="4" w:space="0" w:color="auto"/>
              <w:right w:val="single" w:sz="4" w:space="0" w:color="auto"/>
            </w:tcBorders>
            <w:shd w:val="clear" w:color="auto" w:fill="auto"/>
            <w:vAlign w:val="center"/>
          </w:tcPr>
          <w:p w14:paraId="656A2828" w14:textId="5C5DC700" w:rsidR="000D6154" w:rsidRPr="000D6154" w:rsidRDefault="000D6154" w:rsidP="002F4C5E">
            <w:pPr>
              <w:spacing w:line="276" w:lineRule="auto"/>
              <w:jc w:val="right"/>
              <w:rPr>
                <w:sz w:val="16"/>
                <w:szCs w:val="16"/>
              </w:rPr>
            </w:pPr>
            <w:r w:rsidRPr="000D6154">
              <w:rPr>
                <w:rFonts w:ascii="Arial" w:hAnsi="Arial" w:cs="Arial"/>
                <w:color w:val="000000"/>
                <w:sz w:val="16"/>
                <w:szCs w:val="16"/>
              </w:rPr>
              <w:t>£206</w:t>
            </w:r>
            <w:r>
              <w:rPr>
                <w:rFonts w:ascii="Arial" w:hAnsi="Arial" w:cs="Arial"/>
                <w:color w:val="000000"/>
                <w:sz w:val="16"/>
                <w:szCs w:val="16"/>
              </w:rPr>
              <w:t>K</w:t>
            </w:r>
          </w:p>
        </w:tc>
        <w:tc>
          <w:tcPr>
            <w:tcW w:w="352" w:type="pct"/>
            <w:tcBorders>
              <w:top w:val="single" w:sz="4" w:space="0" w:color="auto"/>
              <w:left w:val="nil"/>
              <w:bottom w:val="single" w:sz="4" w:space="0" w:color="auto"/>
              <w:right w:val="single" w:sz="4" w:space="0" w:color="auto"/>
            </w:tcBorders>
            <w:shd w:val="clear" w:color="auto" w:fill="auto"/>
            <w:vAlign w:val="center"/>
          </w:tcPr>
          <w:p w14:paraId="34938636" w14:textId="13324B6B" w:rsidR="000D6154" w:rsidRPr="000D6154" w:rsidRDefault="000D6154" w:rsidP="002F4C5E">
            <w:pPr>
              <w:spacing w:line="276" w:lineRule="auto"/>
              <w:jc w:val="right"/>
              <w:rPr>
                <w:sz w:val="16"/>
                <w:szCs w:val="16"/>
              </w:rPr>
            </w:pPr>
            <w:r w:rsidRPr="000D6154">
              <w:rPr>
                <w:rFonts w:ascii="Arial" w:hAnsi="Arial" w:cs="Arial"/>
                <w:color w:val="000000"/>
                <w:sz w:val="16"/>
                <w:szCs w:val="16"/>
              </w:rPr>
              <w:t>£202</w:t>
            </w:r>
            <w:r>
              <w:rPr>
                <w:rFonts w:ascii="Arial" w:hAnsi="Arial" w:cs="Arial"/>
                <w:color w:val="000000"/>
                <w:sz w:val="16"/>
                <w:szCs w:val="16"/>
              </w:rPr>
              <w:t>K</w:t>
            </w:r>
          </w:p>
        </w:tc>
        <w:tc>
          <w:tcPr>
            <w:tcW w:w="353" w:type="pct"/>
            <w:tcBorders>
              <w:top w:val="single" w:sz="4" w:space="0" w:color="auto"/>
              <w:left w:val="nil"/>
              <w:bottom w:val="single" w:sz="4" w:space="0" w:color="auto"/>
              <w:right w:val="single" w:sz="4" w:space="0" w:color="auto"/>
            </w:tcBorders>
            <w:shd w:val="clear" w:color="auto" w:fill="auto"/>
            <w:vAlign w:val="center"/>
          </w:tcPr>
          <w:p w14:paraId="1A908CE0" w14:textId="5FC76897" w:rsidR="000D6154" w:rsidRPr="000D6154" w:rsidRDefault="000D6154" w:rsidP="002F4C5E">
            <w:pPr>
              <w:spacing w:line="276" w:lineRule="auto"/>
              <w:jc w:val="right"/>
              <w:rPr>
                <w:sz w:val="16"/>
                <w:szCs w:val="16"/>
              </w:rPr>
            </w:pPr>
            <w:r w:rsidRPr="000D6154">
              <w:rPr>
                <w:rFonts w:ascii="Arial" w:hAnsi="Arial" w:cs="Arial"/>
                <w:color w:val="000000"/>
                <w:sz w:val="16"/>
                <w:szCs w:val="16"/>
              </w:rPr>
              <w:t>£208</w:t>
            </w:r>
            <w:r>
              <w:rPr>
                <w:rFonts w:ascii="Arial" w:hAnsi="Arial" w:cs="Arial"/>
                <w:color w:val="000000"/>
                <w:sz w:val="16"/>
                <w:szCs w:val="16"/>
              </w:rPr>
              <w:t>K</w:t>
            </w:r>
          </w:p>
        </w:tc>
        <w:tc>
          <w:tcPr>
            <w:tcW w:w="375" w:type="pct"/>
            <w:tcBorders>
              <w:top w:val="single" w:sz="4" w:space="0" w:color="auto"/>
              <w:left w:val="nil"/>
              <w:bottom w:val="single" w:sz="4" w:space="0" w:color="auto"/>
              <w:right w:val="single" w:sz="4" w:space="0" w:color="auto"/>
            </w:tcBorders>
            <w:shd w:val="clear" w:color="auto" w:fill="auto"/>
            <w:vAlign w:val="center"/>
          </w:tcPr>
          <w:p w14:paraId="36793D40" w14:textId="41EF10C3" w:rsidR="000D6154" w:rsidRPr="000D6154" w:rsidRDefault="000D6154" w:rsidP="002F4C5E">
            <w:pPr>
              <w:spacing w:line="276" w:lineRule="auto"/>
              <w:jc w:val="right"/>
              <w:rPr>
                <w:sz w:val="16"/>
                <w:szCs w:val="16"/>
              </w:rPr>
            </w:pPr>
            <w:r w:rsidRPr="000D6154">
              <w:rPr>
                <w:rFonts w:ascii="Arial" w:hAnsi="Arial" w:cs="Arial"/>
                <w:color w:val="000000"/>
                <w:sz w:val="16"/>
                <w:szCs w:val="16"/>
              </w:rPr>
              <w:t>£216</w:t>
            </w:r>
            <w:r>
              <w:rPr>
                <w:rFonts w:ascii="Arial" w:hAnsi="Arial" w:cs="Arial"/>
                <w:color w:val="000000"/>
                <w:sz w:val="16"/>
                <w:szCs w:val="16"/>
              </w:rPr>
              <w:t>K</w:t>
            </w:r>
          </w:p>
        </w:tc>
        <w:tc>
          <w:tcPr>
            <w:tcW w:w="360" w:type="pct"/>
            <w:tcBorders>
              <w:top w:val="single" w:sz="4" w:space="0" w:color="auto"/>
              <w:left w:val="nil"/>
              <w:bottom w:val="single" w:sz="4" w:space="0" w:color="auto"/>
              <w:right w:val="single" w:sz="4" w:space="0" w:color="auto"/>
            </w:tcBorders>
            <w:shd w:val="clear" w:color="auto" w:fill="auto"/>
            <w:vAlign w:val="center"/>
          </w:tcPr>
          <w:p w14:paraId="642F8BDA" w14:textId="6C4B84FC" w:rsidR="000D6154" w:rsidRPr="000D6154" w:rsidRDefault="000D6154" w:rsidP="002F4C5E">
            <w:pPr>
              <w:spacing w:line="276" w:lineRule="auto"/>
              <w:jc w:val="right"/>
              <w:rPr>
                <w:sz w:val="16"/>
                <w:szCs w:val="16"/>
              </w:rPr>
            </w:pPr>
            <w:r w:rsidRPr="000D6154">
              <w:rPr>
                <w:rFonts w:ascii="Arial" w:hAnsi="Arial" w:cs="Arial"/>
                <w:color w:val="000000"/>
                <w:sz w:val="16"/>
                <w:szCs w:val="16"/>
              </w:rPr>
              <w:t>£230</w:t>
            </w:r>
            <w:r>
              <w:rPr>
                <w:rFonts w:ascii="Arial" w:hAnsi="Arial" w:cs="Arial"/>
                <w:color w:val="000000"/>
                <w:sz w:val="16"/>
                <w:szCs w:val="16"/>
              </w:rPr>
              <w:t>K</w:t>
            </w:r>
          </w:p>
        </w:tc>
        <w:tc>
          <w:tcPr>
            <w:tcW w:w="362" w:type="pct"/>
            <w:tcBorders>
              <w:top w:val="single" w:sz="4" w:space="0" w:color="auto"/>
              <w:left w:val="nil"/>
              <w:bottom w:val="single" w:sz="4" w:space="0" w:color="auto"/>
              <w:right w:val="single" w:sz="4" w:space="0" w:color="auto"/>
            </w:tcBorders>
            <w:shd w:val="clear" w:color="auto" w:fill="auto"/>
            <w:vAlign w:val="center"/>
          </w:tcPr>
          <w:p w14:paraId="0F150E9A" w14:textId="4462EB16" w:rsidR="000D6154" w:rsidRPr="000D6154" w:rsidRDefault="000D6154" w:rsidP="002F4C5E">
            <w:pPr>
              <w:spacing w:line="276" w:lineRule="auto"/>
              <w:jc w:val="right"/>
              <w:rPr>
                <w:sz w:val="16"/>
                <w:szCs w:val="16"/>
              </w:rPr>
            </w:pPr>
            <w:r w:rsidRPr="000D6154">
              <w:rPr>
                <w:rFonts w:ascii="Arial" w:hAnsi="Arial" w:cs="Arial"/>
                <w:color w:val="000000"/>
                <w:sz w:val="16"/>
                <w:szCs w:val="16"/>
              </w:rPr>
              <w:t>£240</w:t>
            </w:r>
            <w:r>
              <w:rPr>
                <w:rFonts w:ascii="Arial" w:hAnsi="Arial" w:cs="Arial"/>
                <w:color w:val="000000"/>
                <w:sz w:val="16"/>
                <w:szCs w:val="16"/>
              </w:rPr>
              <w:t>K</w:t>
            </w:r>
          </w:p>
        </w:tc>
        <w:tc>
          <w:tcPr>
            <w:tcW w:w="380" w:type="pct"/>
            <w:tcBorders>
              <w:top w:val="single" w:sz="4" w:space="0" w:color="auto"/>
              <w:left w:val="nil"/>
              <w:bottom w:val="single" w:sz="4" w:space="0" w:color="auto"/>
              <w:right w:val="single" w:sz="4" w:space="0" w:color="auto"/>
            </w:tcBorders>
            <w:shd w:val="clear" w:color="auto" w:fill="auto"/>
            <w:vAlign w:val="center"/>
          </w:tcPr>
          <w:p w14:paraId="35DDECB5" w14:textId="18ED8A61" w:rsidR="000D6154" w:rsidRPr="000D6154" w:rsidRDefault="000D6154" w:rsidP="002F4C5E">
            <w:pPr>
              <w:spacing w:line="276" w:lineRule="auto"/>
              <w:jc w:val="right"/>
              <w:rPr>
                <w:sz w:val="16"/>
                <w:szCs w:val="16"/>
              </w:rPr>
            </w:pPr>
            <w:r w:rsidRPr="000D6154">
              <w:rPr>
                <w:rFonts w:ascii="Arial" w:hAnsi="Arial" w:cs="Arial"/>
                <w:color w:val="000000"/>
                <w:sz w:val="16"/>
                <w:szCs w:val="16"/>
              </w:rPr>
              <w:t>£2</w:t>
            </w:r>
            <w:r>
              <w:rPr>
                <w:rFonts w:ascii="Arial" w:hAnsi="Arial" w:cs="Arial"/>
                <w:color w:val="000000"/>
                <w:sz w:val="16"/>
                <w:szCs w:val="16"/>
              </w:rPr>
              <w:t>60K</w:t>
            </w:r>
          </w:p>
        </w:tc>
        <w:tc>
          <w:tcPr>
            <w:tcW w:w="504" w:type="pct"/>
            <w:tcBorders>
              <w:top w:val="single" w:sz="4" w:space="0" w:color="auto"/>
              <w:left w:val="nil"/>
              <w:bottom w:val="single" w:sz="4" w:space="0" w:color="auto"/>
              <w:right w:val="single" w:sz="4" w:space="0" w:color="auto"/>
            </w:tcBorders>
            <w:shd w:val="clear" w:color="000000" w:fill="F2F2F2"/>
            <w:vAlign w:val="center"/>
          </w:tcPr>
          <w:p w14:paraId="1DCEAF87" w14:textId="2AC08BD6" w:rsidR="000D6154" w:rsidRPr="000D6154" w:rsidRDefault="000D6154" w:rsidP="002F4C5E">
            <w:pPr>
              <w:spacing w:line="276" w:lineRule="auto"/>
              <w:jc w:val="right"/>
              <w:rPr>
                <w:b/>
                <w:sz w:val="16"/>
                <w:szCs w:val="16"/>
              </w:rPr>
            </w:pPr>
            <w:r w:rsidRPr="000D6154">
              <w:rPr>
                <w:rFonts w:ascii="Arial" w:hAnsi="Arial" w:cs="Arial"/>
                <w:sz w:val="16"/>
                <w:szCs w:val="16"/>
              </w:rPr>
              <w:t>44.4%</w:t>
            </w:r>
          </w:p>
        </w:tc>
      </w:tr>
      <w:tr w:rsidR="000D6154" w:rsidRPr="00374C95" w14:paraId="5C0F21CD" w14:textId="77777777" w:rsidTr="000D6154">
        <w:trPr>
          <w:trHeight w:val="288"/>
        </w:trPr>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52D812" w14:textId="77777777" w:rsidR="000D6154" w:rsidRPr="00C05756" w:rsidRDefault="000D6154" w:rsidP="000D6154">
            <w:pPr>
              <w:spacing w:line="276" w:lineRule="auto"/>
              <w:jc w:val="both"/>
              <w:rPr>
                <w:sz w:val="16"/>
                <w:szCs w:val="16"/>
              </w:rPr>
            </w:pPr>
            <w:r w:rsidRPr="00C05756">
              <w:rPr>
                <w:sz w:val="16"/>
                <w:szCs w:val="16"/>
              </w:rPr>
              <w:t>Semi-detached</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2A382725" w14:textId="0EAC6873" w:rsidR="000D6154" w:rsidRPr="000D6154" w:rsidRDefault="000D6154" w:rsidP="002F4C5E">
            <w:pPr>
              <w:spacing w:line="276" w:lineRule="auto"/>
              <w:jc w:val="right"/>
              <w:rPr>
                <w:sz w:val="16"/>
                <w:szCs w:val="16"/>
              </w:rPr>
            </w:pPr>
            <w:r w:rsidRPr="000D6154">
              <w:rPr>
                <w:rFonts w:ascii="Arial" w:hAnsi="Arial" w:cs="Arial"/>
                <w:color w:val="000000"/>
                <w:sz w:val="16"/>
                <w:szCs w:val="16"/>
              </w:rPr>
              <w:t>£10</w:t>
            </w:r>
            <w:r>
              <w:rPr>
                <w:rFonts w:ascii="Arial" w:hAnsi="Arial" w:cs="Arial"/>
                <w:color w:val="000000"/>
                <w:sz w:val="16"/>
                <w:szCs w:val="16"/>
              </w:rPr>
              <w:t>6K</w:t>
            </w:r>
          </w:p>
        </w:tc>
        <w:tc>
          <w:tcPr>
            <w:tcW w:w="352" w:type="pct"/>
            <w:tcBorders>
              <w:top w:val="nil"/>
              <w:left w:val="nil"/>
              <w:bottom w:val="single" w:sz="4" w:space="0" w:color="auto"/>
              <w:right w:val="single" w:sz="4" w:space="0" w:color="auto"/>
            </w:tcBorders>
            <w:shd w:val="clear" w:color="auto" w:fill="auto"/>
            <w:noWrap/>
            <w:vAlign w:val="center"/>
          </w:tcPr>
          <w:p w14:paraId="474292E7" w14:textId="7A39FE8F" w:rsidR="000D6154" w:rsidRPr="000D6154" w:rsidRDefault="000D6154" w:rsidP="002F4C5E">
            <w:pPr>
              <w:spacing w:line="276" w:lineRule="auto"/>
              <w:jc w:val="right"/>
              <w:rPr>
                <w:sz w:val="16"/>
                <w:szCs w:val="16"/>
              </w:rPr>
            </w:pPr>
            <w:r w:rsidRPr="000D6154">
              <w:rPr>
                <w:rFonts w:ascii="Arial" w:hAnsi="Arial" w:cs="Arial"/>
                <w:color w:val="000000"/>
                <w:sz w:val="16"/>
                <w:szCs w:val="16"/>
              </w:rPr>
              <w:t>£11</w:t>
            </w:r>
            <w:r>
              <w:rPr>
                <w:rFonts w:ascii="Arial" w:hAnsi="Arial" w:cs="Arial"/>
                <w:color w:val="000000"/>
                <w:sz w:val="16"/>
                <w:szCs w:val="16"/>
              </w:rPr>
              <w:t>5K</w:t>
            </w:r>
          </w:p>
        </w:tc>
        <w:tc>
          <w:tcPr>
            <w:tcW w:w="352" w:type="pct"/>
            <w:tcBorders>
              <w:top w:val="nil"/>
              <w:left w:val="nil"/>
              <w:bottom w:val="single" w:sz="4" w:space="0" w:color="auto"/>
              <w:right w:val="single" w:sz="4" w:space="0" w:color="auto"/>
            </w:tcBorders>
            <w:shd w:val="clear" w:color="auto" w:fill="auto"/>
            <w:noWrap/>
            <w:vAlign w:val="center"/>
          </w:tcPr>
          <w:p w14:paraId="600A874D" w14:textId="38C91276" w:rsidR="000D6154" w:rsidRPr="000D6154" w:rsidRDefault="000D6154" w:rsidP="002F4C5E">
            <w:pPr>
              <w:spacing w:line="276" w:lineRule="auto"/>
              <w:jc w:val="right"/>
              <w:rPr>
                <w:sz w:val="16"/>
                <w:szCs w:val="16"/>
              </w:rPr>
            </w:pPr>
            <w:r w:rsidRPr="000D6154">
              <w:rPr>
                <w:rFonts w:ascii="Arial" w:hAnsi="Arial" w:cs="Arial"/>
                <w:color w:val="000000"/>
                <w:sz w:val="16"/>
                <w:szCs w:val="16"/>
              </w:rPr>
              <w:t>£9</w:t>
            </w:r>
            <w:r>
              <w:rPr>
                <w:rFonts w:ascii="Arial" w:hAnsi="Arial" w:cs="Arial"/>
                <w:color w:val="000000"/>
                <w:sz w:val="16"/>
                <w:szCs w:val="16"/>
              </w:rPr>
              <w:t>8K</w:t>
            </w:r>
          </w:p>
        </w:tc>
        <w:tc>
          <w:tcPr>
            <w:tcW w:w="351" w:type="pct"/>
            <w:tcBorders>
              <w:top w:val="nil"/>
              <w:left w:val="nil"/>
              <w:bottom w:val="single" w:sz="4" w:space="0" w:color="auto"/>
              <w:right w:val="single" w:sz="4" w:space="0" w:color="auto"/>
            </w:tcBorders>
            <w:shd w:val="clear" w:color="auto" w:fill="auto"/>
            <w:vAlign w:val="center"/>
          </w:tcPr>
          <w:p w14:paraId="0EF57795" w14:textId="16E64223" w:rsidR="000D6154" w:rsidRPr="000D6154" w:rsidRDefault="000D6154" w:rsidP="002F4C5E">
            <w:pPr>
              <w:spacing w:line="276" w:lineRule="auto"/>
              <w:jc w:val="right"/>
              <w:rPr>
                <w:sz w:val="16"/>
                <w:szCs w:val="16"/>
              </w:rPr>
            </w:pPr>
            <w:r w:rsidRPr="000D6154">
              <w:rPr>
                <w:rFonts w:ascii="Arial" w:hAnsi="Arial" w:cs="Arial"/>
                <w:color w:val="000000"/>
                <w:sz w:val="16"/>
                <w:szCs w:val="16"/>
              </w:rPr>
              <w:t>£11</w:t>
            </w:r>
            <w:r>
              <w:rPr>
                <w:rFonts w:ascii="Arial" w:hAnsi="Arial" w:cs="Arial"/>
                <w:color w:val="000000"/>
                <w:sz w:val="16"/>
                <w:szCs w:val="16"/>
              </w:rPr>
              <w:t>1K</w:t>
            </w:r>
          </w:p>
        </w:tc>
        <w:tc>
          <w:tcPr>
            <w:tcW w:w="352" w:type="pct"/>
            <w:tcBorders>
              <w:top w:val="nil"/>
              <w:left w:val="nil"/>
              <w:bottom w:val="single" w:sz="4" w:space="0" w:color="auto"/>
              <w:right w:val="single" w:sz="4" w:space="0" w:color="auto"/>
            </w:tcBorders>
            <w:shd w:val="clear" w:color="auto" w:fill="auto"/>
            <w:vAlign w:val="center"/>
          </w:tcPr>
          <w:p w14:paraId="79F9441A" w14:textId="5223C5F8" w:rsidR="000D6154" w:rsidRPr="000D6154" w:rsidRDefault="000D6154" w:rsidP="002F4C5E">
            <w:pPr>
              <w:spacing w:line="276" w:lineRule="auto"/>
              <w:jc w:val="right"/>
              <w:rPr>
                <w:sz w:val="16"/>
                <w:szCs w:val="16"/>
              </w:rPr>
            </w:pPr>
            <w:r w:rsidRPr="000D6154">
              <w:rPr>
                <w:rFonts w:ascii="Arial" w:hAnsi="Arial" w:cs="Arial"/>
                <w:color w:val="000000"/>
                <w:sz w:val="16"/>
                <w:szCs w:val="16"/>
              </w:rPr>
              <w:t>£11</w:t>
            </w:r>
            <w:r>
              <w:rPr>
                <w:rFonts w:ascii="Arial" w:hAnsi="Arial" w:cs="Arial"/>
                <w:color w:val="000000"/>
                <w:sz w:val="16"/>
                <w:szCs w:val="16"/>
              </w:rPr>
              <w:t>7K</w:t>
            </w:r>
          </w:p>
        </w:tc>
        <w:tc>
          <w:tcPr>
            <w:tcW w:w="353" w:type="pct"/>
            <w:tcBorders>
              <w:top w:val="nil"/>
              <w:left w:val="nil"/>
              <w:bottom w:val="single" w:sz="4" w:space="0" w:color="auto"/>
              <w:right w:val="single" w:sz="4" w:space="0" w:color="auto"/>
            </w:tcBorders>
            <w:shd w:val="clear" w:color="auto" w:fill="auto"/>
            <w:vAlign w:val="center"/>
          </w:tcPr>
          <w:p w14:paraId="6AB68364" w14:textId="64EFDB70" w:rsidR="000D6154" w:rsidRPr="000D6154" w:rsidRDefault="000D6154" w:rsidP="002F4C5E">
            <w:pPr>
              <w:spacing w:line="276" w:lineRule="auto"/>
              <w:jc w:val="right"/>
              <w:rPr>
                <w:sz w:val="16"/>
                <w:szCs w:val="16"/>
              </w:rPr>
            </w:pPr>
            <w:r w:rsidRPr="000D6154">
              <w:rPr>
                <w:rFonts w:ascii="Arial" w:hAnsi="Arial" w:cs="Arial"/>
                <w:color w:val="000000"/>
                <w:sz w:val="16"/>
                <w:szCs w:val="16"/>
              </w:rPr>
              <w:t>£1</w:t>
            </w:r>
            <w:r>
              <w:rPr>
                <w:rFonts w:ascii="Arial" w:hAnsi="Arial" w:cs="Arial"/>
                <w:color w:val="000000"/>
                <w:sz w:val="16"/>
                <w:szCs w:val="16"/>
              </w:rPr>
              <w:t>10K</w:t>
            </w:r>
          </w:p>
        </w:tc>
        <w:tc>
          <w:tcPr>
            <w:tcW w:w="375" w:type="pct"/>
            <w:tcBorders>
              <w:top w:val="nil"/>
              <w:left w:val="nil"/>
              <w:bottom w:val="single" w:sz="4" w:space="0" w:color="auto"/>
              <w:right w:val="single" w:sz="4" w:space="0" w:color="auto"/>
            </w:tcBorders>
            <w:shd w:val="clear" w:color="auto" w:fill="auto"/>
            <w:vAlign w:val="center"/>
          </w:tcPr>
          <w:p w14:paraId="76DB8D88" w14:textId="1665A909" w:rsidR="000D6154" w:rsidRPr="000D6154" w:rsidRDefault="000D6154" w:rsidP="002F4C5E">
            <w:pPr>
              <w:spacing w:line="276" w:lineRule="auto"/>
              <w:jc w:val="right"/>
              <w:rPr>
                <w:sz w:val="16"/>
                <w:szCs w:val="16"/>
              </w:rPr>
            </w:pPr>
            <w:r w:rsidRPr="000D6154">
              <w:rPr>
                <w:rFonts w:ascii="Arial" w:hAnsi="Arial" w:cs="Arial"/>
                <w:color w:val="000000"/>
                <w:sz w:val="16"/>
                <w:szCs w:val="16"/>
              </w:rPr>
              <w:t>£115</w:t>
            </w:r>
            <w:r>
              <w:rPr>
                <w:rFonts w:ascii="Arial" w:hAnsi="Arial" w:cs="Arial"/>
                <w:color w:val="000000"/>
                <w:sz w:val="16"/>
                <w:szCs w:val="16"/>
              </w:rPr>
              <w:t>K</w:t>
            </w:r>
          </w:p>
        </w:tc>
        <w:tc>
          <w:tcPr>
            <w:tcW w:w="360" w:type="pct"/>
            <w:tcBorders>
              <w:top w:val="nil"/>
              <w:left w:val="nil"/>
              <w:bottom w:val="single" w:sz="4" w:space="0" w:color="auto"/>
              <w:right w:val="single" w:sz="4" w:space="0" w:color="auto"/>
            </w:tcBorders>
            <w:shd w:val="clear" w:color="auto" w:fill="auto"/>
            <w:vAlign w:val="center"/>
          </w:tcPr>
          <w:p w14:paraId="5FD1A46C" w14:textId="40631565" w:rsidR="000D6154" w:rsidRPr="000D6154" w:rsidRDefault="000D6154" w:rsidP="002F4C5E">
            <w:pPr>
              <w:spacing w:line="276" w:lineRule="auto"/>
              <w:jc w:val="right"/>
              <w:rPr>
                <w:sz w:val="16"/>
                <w:szCs w:val="16"/>
              </w:rPr>
            </w:pPr>
            <w:r w:rsidRPr="000D6154">
              <w:rPr>
                <w:rFonts w:ascii="Arial" w:hAnsi="Arial" w:cs="Arial"/>
                <w:color w:val="000000"/>
                <w:sz w:val="16"/>
                <w:szCs w:val="16"/>
              </w:rPr>
              <w:t>£125</w:t>
            </w:r>
            <w:r>
              <w:rPr>
                <w:rFonts w:ascii="Arial" w:hAnsi="Arial" w:cs="Arial"/>
                <w:color w:val="000000"/>
                <w:sz w:val="16"/>
                <w:szCs w:val="16"/>
              </w:rPr>
              <w:t>K</w:t>
            </w:r>
          </w:p>
        </w:tc>
        <w:tc>
          <w:tcPr>
            <w:tcW w:w="362" w:type="pct"/>
            <w:tcBorders>
              <w:top w:val="nil"/>
              <w:left w:val="nil"/>
              <w:bottom w:val="single" w:sz="4" w:space="0" w:color="auto"/>
              <w:right w:val="single" w:sz="4" w:space="0" w:color="auto"/>
            </w:tcBorders>
            <w:shd w:val="clear" w:color="auto" w:fill="auto"/>
            <w:vAlign w:val="center"/>
          </w:tcPr>
          <w:p w14:paraId="089DB38E" w14:textId="3B9F625B" w:rsidR="000D6154" w:rsidRPr="000D6154" w:rsidRDefault="000D6154" w:rsidP="002F4C5E">
            <w:pPr>
              <w:spacing w:line="276" w:lineRule="auto"/>
              <w:jc w:val="right"/>
              <w:rPr>
                <w:sz w:val="16"/>
                <w:szCs w:val="16"/>
              </w:rPr>
            </w:pPr>
            <w:r w:rsidRPr="000D6154">
              <w:rPr>
                <w:rFonts w:ascii="Arial" w:hAnsi="Arial" w:cs="Arial"/>
                <w:color w:val="000000"/>
                <w:sz w:val="16"/>
                <w:szCs w:val="16"/>
              </w:rPr>
              <w:t>£13</w:t>
            </w:r>
            <w:r>
              <w:rPr>
                <w:rFonts w:ascii="Arial" w:hAnsi="Arial" w:cs="Arial"/>
                <w:color w:val="000000"/>
                <w:sz w:val="16"/>
                <w:szCs w:val="16"/>
              </w:rPr>
              <w:t>4K</w:t>
            </w:r>
          </w:p>
        </w:tc>
        <w:tc>
          <w:tcPr>
            <w:tcW w:w="380" w:type="pct"/>
            <w:tcBorders>
              <w:top w:val="nil"/>
              <w:left w:val="nil"/>
              <w:bottom w:val="single" w:sz="4" w:space="0" w:color="auto"/>
              <w:right w:val="single" w:sz="4" w:space="0" w:color="auto"/>
            </w:tcBorders>
            <w:shd w:val="clear" w:color="auto" w:fill="auto"/>
            <w:vAlign w:val="center"/>
          </w:tcPr>
          <w:p w14:paraId="24FE0CC7" w14:textId="79BA5DFC" w:rsidR="000D6154" w:rsidRPr="000D6154" w:rsidRDefault="000D6154" w:rsidP="002F4C5E">
            <w:pPr>
              <w:spacing w:line="276" w:lineRule="auto"/>
              <w:jc w:val="right"/>
              <w:rPr>
                <w:sz w:val="16"/>
                <w:szCs w:val="16"/>
              </w:rPr>
            </w:pPr>
            <w:r w:rsidRPr="000D6154">
              <w:rPr>
                <w:rFonts w:ascii="Arial" w:hAnsi="Arial" w:cs="Arial"/>
                <w:color w:val="000000"/>
                <w:sz w:val="16"/>
                <w:szCs w:val="16"/>
              </w:rPr>
              <w:t>£135</w:t>
            </w:r>
            <w:r>
              <w:rPr>
                <w:rFonts w:ascii="Arial" w:hAnsi="Arial" w:cs="Arial"/>
                <w:color w:val="000000"/>
                <w:sz w:val="16"/>
                <w:szCs w:val="16"/>
              </w:rPr>
              <w:t>K</w:t>
            </w:r>
          </w:p>
        </w:tc>
        <w:tc>
          <w:tcPr>
            <w:tcW w:w="504" w:type="pct"/>
            <w:tcBorders>
              <w:top w:val="nil"/>
              <w:left w:val="nil"/>
              <w:bottom w:val="single" w:sz="4" w:space="0" w:color="auto"/>
              <w:right w:val="single" w:sz="4" w:space="0" w:color="auto"/>
            </w:tcBorders>
            <w:shd w:val="clear" w:color="000000" w:fill="F2F2F2"/>
            <w:vAlign w:val="center"/>
          </w:tcPr>
          <w:p w14:paraId="413CFEFE" w14:textId="6DC6049C" w:rsidR="000D6154" w:rsidRPr="000D6154" w:rsidRDefault="000D6154" w:rsidP="002F4C5E">
            <w:pPr>
              <w:spacing w:line="276" w:lineRule="auto"/>
              <w:jc w:val="right"/>
              <w:rPr>
                <w:b/>
                <w:sz w:val="16"/>
                <w:szCs w:val="16"/>
              </w:rPr>
            </w:pPr>
            <w:r w:rsidRPr="000D6154">
              <w:rPr>
                <w:rFonts w:ascii="Arial" w:hAnsi="Arial" w:cs="Arial"/>
                <w:sz w:val="16"/>
                <w:szCs w:val="16"/>
              </w:rPr>
              <w:t>27.4%</w:t>
            </w:r>
          </w:p>
        </w:tc>
      </w:tr>
      <w:tr w:rsidR="000D6154" w:rsidRPr="00374C95" w14:paraId="78DCBE26" w14:textId="77777777" w:rsidTr="000D6154">
        <w:trPr>
          <w:trHeight w:val="288"/>
        </w:trPr>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9092E8" w14:textId="77777777" w:rsidR="000D6154" w:rsidRPr="00C05756" w:rsidRDefault="000D6154" w:rsidP="000D6154">
            <w:pPr>
              <w:spacing w:line="276" w:lineRule="auto"/>
              <w:jc w:val="both"/>
              <w:rPr>
                <w:sz w:val="16"/>
                <w:szCs w:val="16"/>
              </w:rPr>
            </w:pPr>
            <w:r w:rsidRPr="00C05756">
              <w:rPr>
                <w:sz w:val="16"/>
                <w:szCs w:val="16"/>
              </w:rPr>
              <w:t>Terraced</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0460BB88" w14:textId="1DB2FA92" w:rsidR="000D6154" w:rsidRPr="000D6154" w:rsidRDefault="000D6154" w:rsidP="002F4C5E">
            <w:pPr>
              <w:spacing w:line="276" w:lineRule="auto"/>
              <w:jc w:val="right"/>
              <w:rPr>
                <w:sz w:val="16"/>
                <w:szCs w:val="16"/>
              </w:rPr>
            </w:pPr>
            <w:r w:rsidRPr="000D6154">
              <w:rPr>
                <w:rFonts w:ascii="Arial" w:hAnsi="Arial" w:cs="Arial"/>
                <w:color w:val="000000"/>
                <w:sz w:val="16"/>
                <w:szCs w:val="16"/>
              </w:rPr>
              <w:t>£</w:t>
            </w:r>
            <w:r>
              <w:rPr>
                <w:rFonts w:ascii="Arial" w:hAnsi="Arial" w:cs="Arial"/>
                <w:color w:val="000000"/>
                <w:sz w:val="16"/>
                <w:szCs w:val="16"/>
              </w:rPr>
              <w:t>80K</w:t>
            </w:r>
          </w:p>
        </w:tc>
        <w:tc>
          <w:tcPr>
            <w:tcW w:w="352" w:type="pct"/>
            <w:tcBorders>
              <w:top w:val="nil"/>
              <w:left w:val="nil"/>
              <w:bottom w:val="single" w:sz="4" w:space="0" w:color="auto"/>
              <w:right w:val="single" w:sz="4" w:space="0" w:color="auto"/>
            </w:tcBorders>
            <w:shd w:val="clear" w:color="auto" w:fill="auto"/>
            <w:noWrap/>
            <w:vAlign w:val="center"/>
          </w:tcPr>
          <w:p w14:paraId="0E06FD71" w14:textId="1486D332" w:rsidR="000D6154" w:rsidRPr="000D6154" w:rsidRDefault="000D6154" w:rsidP="002F4C5E">
            <w:pPr>
              <w:spacing w:line="276" w:lineRule="auto"/>
              <w:jc w:val="right"/>
              <w:rPr>
                <w:sz w:val="16"/>
                <w:szCs w:val="16"/>
              </w:rPr>
            </w:pPr>
            <w:r w:rsidRPr="000D6154">
              <w:rPr>
                <w:rFonts w:ascii="Arial" w:hAnsi="Arial" w:cs="Arial"/>
                <w:color w:val="000000"/>
                <w:sz w:val="16"/>
                <w:szCs w:val="16"/>
              </w:rPr>
              <w:t>£75</w:t>
            </w:r>
            <w:r>
              <w:rPr>
                <w:rFonts w:ascii="Arial" w:hAnsi="Arial" w:cs="Arial"/>
                <w:color w:val="000000"/>
                <w:sz w:val="16"/>
                <w:szCs w:val="16"/>
              </w:rPr>
              <w:t>K</w:t>
            </w:r>
          </w:p>
        </w:tc>
        <w:tc>
          <w:tcPr>
            <w:tcW w:w="352" w:type="pct"/>
            <w:tcBorders>
              <w:top w:val="nil"/>
              <w:left w:val="nil"/>
              <w:bottom w:val="single" w:sz="4" w:space="0" w:color="auto"/>
              <w:right w:val="single" w:sz="4" w:space="0" w:color="auto"/>
            </w:tcBorders>
            <w:shd w:val="clear" w:color="auto" w:fill="auto"/>
            <w:noWrap/>
            <w:vAlign w:val="center"/>
          </w:tcPr>
          <w:p w14:paraId="3D3591E5" w14:textId="39E0186D" w:rsidR="000D6154" w:rsidRPr="000D6154" w:rsidRDefault="000D6154" w:rsidP="002F4C5E">
            <w:pPr>
              <w:spacing w:line="276" w:lineRule="auto"/>
              <w:jc w:val="right"/>
              <w:rPr>
                <w:sz w:val="16"/>
                <w:szCs w:val="16"/>
              </w:rPr>
            </w:pPr>
            <w:r w:rsidRPr="000D6154">
              <w:rPr>
                <w:rFonts w:ascii="Arial" w:hAnsi="Arial" w:cs="Arial"/>
                <w:color w:val="000000"/>
                <w:sz w:val="16"/>
                <w:szCs w:val="16"/>
              </w:rPr>
              <w:t>£</w:t>
            </w:r>
            <w:r>
              <w:rPr>
                <w:rFonts w:ascii="Arial" w:hAnsi="Arial" w:cs="Arial"/>
                <w:color w:val="000000"/>
                <w:sz w:val="16"/>
                <w:szCs w:val="16"/>
              </w:rPr>
              <w:t>80K</w:t>
            </w:r>
          </w:p>
        </w:tc>
        <w:tc>
          <w:tcPr>
            <w:tcW w:w="351" w:type="pct"/>
            <w:tcBorders>
              <w:top w:val="nil"/>
              <w:left w:val="nil"/>
              <w:bottom w:val="single" w:sz="4" w:space="0" w:color="auto"/>
              <w:right w:val="single" w:sz="4" w:space="0" w:color="auto"/>
            </w:tcBorders>
            <w:shd w:val="clear" w:color="auto" w:fill="auto"/>
            <w:vAlign w:val="center"/>
          </w:tcPr>
          <w:p w14:paraId="4B2AE0B9" w14:textId="5627717F" w:rsidR="000D6154" w:rsidRPr="000D6154" w:rsidRDefault="000D6154" w:rsidP="002F4C5E">
            <w:pPr>
              <w:spacing w:line="276" w:lineRule="auto"/>
              <w:jc w:val="right"/>
              <w:rPr>
                <w:sz w:val="16"/>
                <w:szCs w:val="16"/>
              </w:rPr>
            </w:pPr>
            <w:r w:rsidRPr="000D6154">
              <w:rPr>
                <w:rFonts w:ascii="Arial" w:hAnsi="Arial" w:cs="Arial"/>
                <w:color w:val="000000"/>
                <w:sz w:val="16"/>
                <w:szCs w:val="16"/>
              </w:rPr>
              <w:t>£7</w:t>
            </w:r>
            <w:r>
              <w:rPr>
                <w:rFonts w:ascii="Arial" w:hAnsi="Arial" w:cs="Arial"/>
                <w:color w:val="000000"/>
                <w:sz w:val="16"/>
                <w:szCs w:val="16"/>
              </w:rPr>
              <w:t>7K</w:t>
            </w:r>
          </w:p>
        </w:tc>
        <w:tc>
          <w:tcPr>
            <w:tcW w:w="352" w:type="pct"/>
            <w:tcBorders>
              <w:top w:val="nil"/>
              <w:left w:val="nil"/>
              <w:bottom w:val="single" w:sz="4" w:space="0" w:color="auto"/>
              <w:right w:val="single" w:sz="4" w:space="0" w:color="auto"/>
            </w:tcBorders>
            <w:shd w:val="clear" w:color="auto" w:fill="auto"/>
            <w:vAlign w:val="center"/>
          </w:tcPr>
          <w:p w14:paraId="46FBED94" w14:textId="44A891F3" w:rsidR="000D6154" w:rsidRPr="000D6154" w:rsidRDefault="000D6154" w:rsidP="002F4C5E">
            <w:pPr>
              <w:spacing w:line="276" w:lineRule="auto"/>
              <w:jc w:val="right"/>
              <w:rPr>
                <w:sz w:val="16"/>
                <w:szCs w:val="16"/>
              </w:rPr>
            </w:pPr>
            <w:r w:rsidRPr="000D6154">
              <w:rPr>
                <w:rFonts w:ascii="Arial" w:hAnsi="Arial" w:cs="Arial"/>
                <w:color w:val="000000"/>
                <w:sz w:val="16"/>
                <w:szCs w:val="16"/>
              </w:rPr>
              <w:t>£74</w:t>
            </w:r>
            <w:r>
              <w:rPr>
                <w:rFonts w:ascii="Arial" w:hAnsi="Arial" w:cs="Arial"/>
                <w:color w:val="000000"/>
                <w:sz w:val="16"/>
                <w:szCs w:val="16"/>
              </w:rPr>
              <w:t>K</w:t>
            </w:r>
          </w:p>
        </w:tc>
        <w:tc>
          <w:tcPr>
            <w:tcW w:w="353" w:type="pct"/>
            <w:tcBorders>
              <w:top w:val="nil"/>
              <w:left w:val="nil"/>
              <w:bottom w:val="single" w:sz="4" w:space="0" w:color="auto"/>
              <w:right w:val="single" w:sz="4" w:space="0" w:color="auto"/>
            </w:tcBorders>
            <w:shd w:val="clear" w:color="auto" w:fill="auto"/>
            <w:vAlign w:val="center"/>
          </w:tcPr>
          <w:p w14:paraId="49D60E79" w14:textId="53FA9A27" w:rsidR="000D6154" w:rsidRPr="000D6154" w:rsidRDefault="000D6154" w:rsidP="002F4C5E">
            <w:pPr>
              <w:spacing w:line="276" w:lineRule="auto"/>
              <w:jc w:val="right"/>
              <w:rPr>
                <w:sz w:val="16"/>
                <w:szCs w:val="16"/>
              </w:rPr>
            </w:pPr>
            <w:r w:rsidRPr="000D6154">
              <w:rPr>
                <w:rFonts w:ascii="Arial" w:hAnsi="Arial" w:cs="Arial"/>
                <w:color w:val="000000"/>
                <w:sz w:val="16"/>
                <w:szCs w:val="16"/>
              </w:rPr>
              <w:t>£77</w:t>
            </w:r>
            <w:r>
              <w:rPr>
                <w:rFonts w:ascii="Arial" w:hAnsi="Arial" w:cs="Arial"/>
                <w:color w:val="000000"/>
                <w:sz w:val="16"/>
                <w:szCs w:val="16"/>
              </w:rPr>
              <w:t>K</w:t>
            </w:r>
          </w:p>
        </w:tc>
        <w:tc>
          <w:tcPr>
            <w:tcW w:w="375" w:type="pct"/>
            <w:tcBorders>
              <w:top w:val="nil"/>
              <w:left w:val="nil"/>
              <w:bottom w:val="single" w:sz="4" w:space="0" w:color="auto"/>
              <w:right w:val="single" w:sz="4" w:space="0" w:color="auto"/>
            </w:tcBorders>
            <w:shd w:val="clear" w:color="auto" w:fill="auto"/>
            <w:vAlign w:val="center"/>
          </w:tcPr>
          <w:p w14:paraId="33F60B47" w14:textId="38654DA5" w:rsidR="000D6154" w:rsidRPr="000D6154" w:rsidRDefault="000D6154" w:rsidP="002F4C5E">
            <w:pPr>
              <w:spacing w:line="276" w:lineRule="auto"/>
              <w:jc w:val="right"/>
              <w:rPr>
                <w:sz w:val="16"/>
                <w:szCs w:val="16"/>
              </w:rPr>
            </w:pPr>
            <w:r w:rsidRPr="000D6154">
              <w:rPr>
                <w:rFonts w:ascii="Arial" w:hAnsi="Arial" w:cs="Arial"/>
                <w:color w:val="000000"/>
                <w:sz w:val="16"/>
                <w:szCs w:val="16"/>
              </w:rPr>
              <w:t>£8</w:t>
            </w:r>
            <w:r>
              <w:rPr>
                <w:rFonts w:ascii="Arial" w:hAnsi="Arial" w:cs="Arial"/>
                <w:color w:val="000000"/>
                <w:sz w:val="16"/>
                <w:szCs w:val="16"/>
              </w:rPr>
              <w:t>1K</w:t>
            </w:r>
          </w:p>
        </w:tc>
        <w:tc>
          <w:tcPr>
            <w:tcW w:w="360" w:type="pct"/>
            <w:tcBorders>
              <w:top w:val="nil"/>
              <w:left w:val="nil"/>
              <w:bottom w:val="single" w:sz="4" w:space="0" w:color="auto"/>
              <w:right w:val="single" w:sz="4" w:space="0" w:color="auto"/>
            </w:tcBorders>
            <w:shd w:val="clear" w:color="auto" w:fill="auto"/>
            <w:vAlign w:val="center"/>
          </w:tcPr>
          <w:p w14:paraId="011B7C09" w14:textId="356F5B42" w:rsidR="000D6154" w:rsidRPr="000D6154" w:rsidRDefault="000D6154" w:rsidP="002F4C5E">
            <w:pPr>
              <w:spacing w:line="276" w:lineRule="auto"/>
              <w:jc w:val="right"/>
              <w:rPr>
                <w:sz w:val="16"/>
                <w:szCs w:val="16"/>
              </w:rPr>
            </w:pPr>
            <w:r w:rsidRPr="000D6154">
              <w:rPr>
                <w:rFonts w:ascii="Arial" w:hAnsi="Arial" w:cs="Arial"/>
                <w:color w:val="000000"/>
                <w:sz w:val="16"/>
                <w:szCs w:val="16"/>
              </w:rPr>
              <w:t>£</w:t>
            </w:r>
            <w:r>
              <w:rPr>
                <w:rFonts w:ascii="Arial" w:hAnsi="Arial" w:cs="Arial"/>
                <w:color w:val="000000"/>
                <w:sz w:val="16"/>
                <w:szCs w:val="16"/>
              </w:rPr>
              <w:t>90K</w:t>
            </w:r>
          </w:p>
        </w:tc>
        <w:tc>
          <w:tcPr>
            <w:tcW w:w="362" w:type="pct"/>
            <w:tcBorders>
              <w:top w:val="nil"/>
              <w:left w:val="nil"/>
              <w:bottom w:val="single" w:sz="4" w:space="0" w:color="auto"/>
              <w:right w:val="single" w:sz="4" w:space="0" w:color="auto"/>
            </w:tcBorders>
            <w:shd w:val="clear" w:color="auto" w:fill="auto"/>
            <w:vAlign w:val="center"/>
          </w:tcPr>
          <w:p w14:paraId="16722590" w14:textId="21E18BB2" w:rsidR="000D6154" w:rsidRPr="000D6154" w:rsidRDefault="000D6154" w:rsidP="002F4C5E">
            <w:pPr>
              <w:spacing w:line="276" w:lineRule="auto"/>
              <w:jc w:val="right"/>
              <w:rPr>
                <w:sz w:val="16"/>
                <w:szCs w:val="16"/>
              </w:rPr>
            </w:pPr>
            <w:r w:rsidRPr="000D6154">
              <w:rPr>
                <w:rFonts w:ascii="Arial" w:hAnsi="Arial" w:cs="Arial"/>
                <w:color w:val="000000"/>
                <w:sz w:val="16"/>
                <w:szCs w:val="16"/>
              </w:rPr>
              <w:t>£90</w:t>
            </w:r>
            <w:r>
              <w:rPr>
                <w:rFonts w:ascii="Arial" w:hAnsi="Arial" w:cs="Arial"/>
                <w:color w:val="000000"/>
                <w:sz w:val="16"/>
                <w:szCs w:val="16"/>
              </w:rPr>
              <w:t>K</w:t>
            </w:r>
          </w:p>
        </w:tc>
        <w:tc>
          <w:tcPr>
            <w:tcW w:w="380" w:type="pct"/>
            <w:tcBorders>
              <w:top w:val="nil"/>
              <w:left w:val="nil"/>
              <w:bottom w:val="single" w:sz="4" w:space="0" w:color="auto"/>
              <w:right w:val="single" w:sz="4" w:space="0" w:color="auto"/>
            </w:tcBorders>
            <w:shd w:val="clear" w:color="auto" w:fill="auto"/>
            <w:vAlign w:val="center"/>
          </w:tcPr>
          <w:p w14:paraId="3417B2F2" w14:textId="26DEB104" w:rsidR="000D6154" w:rsidRPr="000D6154" w:rsidRDefault="000D6154" w:rsidP="002F4C5E">
            <w:pPr>
              <w:spacing w:line="276" w:lineRule="auto"/>
              <w:jc w:val="right"/>
              <w:rPr>
                <w:sz w:val="16"/>
                <w:szCs w:val="16"/>
              </w:rPr>
            </w:pPr>
            <w:r w:rsidRPr="000D6154">
              <w:rPr>
                <w:rFonts w:ascii="Arial" w:hAnsi="Arial" w:cs="Arial"/>
                <w:color w:val="000000"/>
                <w:sz w:val="16"/>
                <w:szCs w:val="16"/>
              </w:rPr>
              <w:t>£90</w:t>
            </w:r>
            <w:r>
              <w:rPr>
                <w:rFonts w:ascii="Arial" w:hAnsi="Arial" w:cs="Arial"/>
                <w:color w:val="000000"/>
                <w:sz w:val="16"/>
                <w:szCs w:val="16"/>
              </w:rPr>
              <w:t>K</w:t>
            </w:r>
          </w:p>
        </w:tc>
        <w:tc>
          <w:tcPr>
            <w:tcW w:w="504" w:type="pct"/>
            <w:tcBorders>
              <w:top w:val="nil"/>
              <w:left w:val="nil"/>
              <w:bottom w:val="single" w:sz="4" w:space="0" w:color="auto"/>
              <w:right w:val="single" w:sz="4" w:space="0" w:color="auto"/>
            </w:tcBorders>
            <w:shd w:val="clear" w:color="000000" w:fill="F2F2F2"/>
            <w:vAlign w:val="center"/>
          </w:tcPr>
          <w:p w14:paraId="0C38C4A6" w14:textId="34F0B626" w:rsidR="000D6154" w:rsidRPr="000D6154" w:rsidRDefault="000D6154" w:rsidP="002F4C5E">
            <w:pPr>
              <w:spacing w:line="276" w:lineRule="auto"/>
              <w:jc w:val="right"/>
              <w:rPr>
                <w:b/>
                <w:sz w:val="16"/>
                <w:szCs w:val="16"/>
              </w:rPr>
            </w:pPr>
            <w:r w:rsidRPr="000D6154">
              <w:rPr>
                <w:rFonts w:ascii="Arial" w:hAnsi="Arial" w:cs="Arial"/>
                <w:sz w:val="16"/>
                <w:szCs w:val="16"/>
              </w:rPr>
              <w:t>12.5%</w:t>
            </w:r>
          </w:p>
        </w:tc>
      </w:tr>
      <w:tr w:rsidR="000D6154" w:rsidRPr="00374C95" w14:paraId="57536DD6" w14:textId="77777777" w:rsidTr="000D6154">
        <w:trPr>
          <w:trHeight w:val="300"/>
        </w:trPr>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77B5F2" w14:textId="77777777" w:rsidR="000D6154" w:rsidRPr="00C05756" w:rsidRDefault="000D6154" w:rsidP="000D6154">
            <w:pPr>
              <w:spacing w:line="276" w:lineRule="auto"/>
              <w:jc w:val="both"/>
              <w:rPr>
                <w:sz w:val="16"/>
                <w:szCs w:val="16"/>
              </w:rPr>
            </w:pPr>
            <w:r w:rsidRPr="00C05756">
              <w:rPr>
                <w:sz w:val="16"/>
                <w:szCs w:val="16"/>
              </w:rPr>
              <w:t>Flats</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568BE9FE" w14:textId="3B72F853" w:rsidR="000D6154" w:rsidRPr="000D6154" w:rsidRDefault="000D6154" w:rsidP="002F4C5E">
            <w:pPr>
              <w:spacing w:line="276" w:lineRule="auto"/>
              <w:jc w:val="right"/>
              <w:rPr>
                <w:sz w:val="16"/>
                <w:szCs w:val="16"/>
              </w:rPr>
            </w:pPr>
            <w:r w:rsidRPr="000D6154">
              <w:rPr>
                <w:rFonts w:ascii="Arial" w:hAnsi="Arial" w:cs="Arial"/>
                <w:color w:val="000000"/>
                <w:sz w:val="16"/>
                <w:szCs w:val="16"/>
              </w:rPr>
              <w:t>£9</w:t>
            </w:r>
            <w:r>
              <w:rPr>
                <w:rFonts w:ascii="Arial" w:hAnsi="Arial" w:cs="Arial"/>
                <w:color w:val="000000"/>
                <w:sz w:val="16"/>
                <w:szCs w:val="16"/>
              </w:rPr>
              <w:t>3K</w:t>
            </w:r>
          </w:p>
        </w:tc>
        <w:tc>
          <w:tcPr>
            <w:tcW w:w="352" w:type="pct"/>
            <w:tcBorders>
              <w:top w:val="nil"/>
              <w:left w:val="nil"/>
              <w:bottom w:val="single" w:sz="4" w:space="0" w:color="auto"/>
              <w:right w:val="single" w:sz="4" w:space="0" w:color="auto"/>
            </w:tcBorders>
            <w:shd w:val="clear" w:color="auto" w:fill="auto"/>
            <w:noWrap/>
            <w:vAlign w:val="center"/>
          </w:tcPr>
          <w:p w14:paraId="509C9063" w14:textId="476A836A" w:rsidR="000D6154" w:rsidRPr="000D6154" w:rsidRDefault="000D6154" w:rsidP="002F4C5E">
            <w:pPr>
              <w:spacing w:line="276" w:lineRule="auto"/>
              <w:jc w:val="right"/>
              <w:rPr>
                <w:sz w:val="16"/>
                <w:szCs w:val="16"/>
              </w:rPr>
            </w:pPr>
            <w:r w:rsidRPr="000D6154">
              <w:rPr>
                <w:rFonts w:ascii="Arial" w:hAnsi="Arial" w:cs="Arial"/>
                <w:color w:val="000000"/>
                <w:sz w:val="16"/>
                <w:szCs w:val="16"/>
              </w:rPr>
              <w:t>£72</w:t>
            </w:r>
            <w:r>
              <w:rPr>
                <w:rFonts w:ascii="Arial" w:hAnsi="Arial" w:cs="Arial"/>
                <w:color w:val="000000"/>
                <w:sz w:val="16"/>
                <w:szCs w:val="16"/>
              </w:rPr>
              <w:t>K</w:t>
            </w:r>
          </w:p>
        </w:tc>
        <w:tc>
          <w:tcPr>
            <w:tcW w:w="352" w:type="pct"/>
            <w:tcBorders>
              <w:top w:val="nil"/>
              <w:left w:val="nil"/>
              <w:bottom w:val="single" w:sz="4" w:space="0" w:color="auto"/>
              <w:right w:val="single" w:sz="4" w:space="0" w:color="auto"/>
            </w:tcBorders>
            <w:shd w:val="clear" w:color="auto" w:fill="auto"/>
            <w:noWrap/>
            <w:vAlign w:val="center"/>
          </w:tcPr>
          <w:p w14:paraId="215BFB03" w14:textId="35E14302" w:rsidR="000D6154" w:rsidRPr="000D6154" w:rsidRDefault="000D6154" w:rsidP="002F4C5E">
            <w:pPr>
              <w:spacing w:line="276" w:lineRule="auto"/>
              <w:jc w:val="right"/>
              <w:rPr>
                <w:sz w:val="16"/>
                <w:szCs w:val="16"/>
              </w:rPr>
            </w:pPr>
            <w:r w:rsidRPr="000D6154">
              <w:rPr>
                <w:rFonts w:ascii="Arial" w:hAnsi="Arial" w:cs="Arial"/>
                <w:color w:val="000000"/>
                <w:sz w:val="16"/>
                <w:szCs w:val="16"/>
              </w:rPr>
              <w:t>£6</w:t>
            </w:r>
            <w:r>
              <w:rPr>
                <w:rFonts w:ascii="Arial" w:hAnsi="Arial" w:cs="Arial"/>
                <w:color w:val="000000"/>
                <w:sz w:val="16"/>
                <w:szCs w:val="16"/>
              </w:rPr>
              <w:t>1K</w:t>
            </w:r>
          </w:p>
        </w:tc>
        <w:tc>
          <w:tcPr>
            <w:tcW w:w="351" w:type="pct"/>
            <w:tcBorders>
              <w:top w:val="nil"/>
              <w:left w:val="nil"/>
              <w:bottom w:val="single" w:sz="4" w:space="0" w:color="auto"/>
              <w:right w:val="single" w:sz="4" w:space="0" w:color="auto"/>
            </w:tcBorders>
            <w:shd w:val="clear" w:color="auto" w:fill="auto"/>
            <w:vAlign w:val="center"/>
          </w:tcPr>
          <w:p w14:paraId="60B95BC8" w14:textId="7B221CEC" w:rsidR="000D6154" w:rsidRPr="000D6154" w:rsidRDefault="000D6154" w:rsidP="002F4C5E">
            <w:pPr>
              <w:spacing w:line="276" w:lineRule="auto"/>
              <w:jc w:val="right"/>
              <w:rPr>
                <w:sz w:val="16"/>
                <w:szCs w:val="16"/>
              </w:rPr>
            </w:pPr>
            <w:r w:rsidRPr="000D6154">
              <w:rPr>
                <w:rFonts w:ascii="Arial" w:hAnsi="Arial" w:cs="Arial"/>
                <w:color w:val="000000"/>
                <w:sz w:val="16"/>
                <w:szCs w:val="16"/>
              </w:rPr>
              <w:t>£7</w:t>
            </w:r>
            <w:r>
              <w:rPr>
                <w:rFonts w:ascii="Arial" w:hAnsi="Arial" w:cs="Arial"/>
                <w:color w:val="000000"/>
                <w:sz w:val="16"/>
                <w:szCs w:val="16"/>
              </w:rPr>
              <w:t>2K</w:t>
            </w:r>
          </w:p>
        </w:tc>
        <w:tc>
          <w:tcPr>
            <w:tcW w:w="352" w:type="pct"/>
            <w:tcBorders>
              <w:top w:val="nil"/>
              <w:left w:val="nil"/>
              <w:bottom w:val="single" w:sz="4" w:space="0" w:color="auto"/>
              <w:right w:val="single" w:sz="4" w:space="0" w:color="auto"/>
            </w:tcBorders>
            <w:shd w:val="clear" w:color="auto" w:fill="auto"/>
            <w:vAlign w:val="center"/>
          </w:tcPr>
          <w:p w14:paraId="4203029D" w14:textId="7418EE09" w:rsidR="000D6154" w:rsidRPr="000D6154" w:rsidRDefault="000D6154" w:rsidP="002F4C5E">
            <w:pPr>
              <w:spacing w:line="276" w:lineRule="auto"/>
              <w:jc w:val="right"/>
              <w:rPr>
                <w:sz w:val="16"/>
                <w:szCs w:val="16"/>
              </w:rPr>
            </w:pPr>
            <w:r w:rsidRPr="000D6154">
              <w:rPr>
                <w:rFonts w:ascii="Arial" w:hAnsi="Arial" w:cs="Arial"/>
                <w:color w:val="000000"/>
                <w:sz w:val="16"/>
                <w:szCs w:val="16"/>
              </w:rPr>
              <w:t>£</w:t>
            </w:r>
            <w:r>
              <w:rPr>
                <w:rFonts w:ascii="Arial" w:hAnsi="Arial" w:cs="Arial"/>
                <w:color w:val="000000"/>
                <w:sz w:val="16"/>
                <w:szCs w:val="16"/>
              </w:rPr>
              <w:t>70K</w:t>
            </w:r>
          </w:p>
        </w:tc>
        <w:tc>
          <w:tcPr>
            <w:tcW w:w="353" w:type="pct"/>
            <w:tcBorders>
              <w:top w:val="nil"/>
              <w:left w:val="nil"/>
              <w:bottom w:val="single" w:sz="4" w:space="0" w:color="auto"/>
              <w:right w:val="single" w:sz="4" w:space="0" w:color="auto"/>
            </w:tcBorders>
            <w:shd w:val="clear" w:color="auto" w:fill="auto"/>
            <w:vAlign w:val="center"/>
          </w:tcPr>
          <w:p w14:paraId="08881DA6" w14:textId="7618351C" w:rsidR="000D6154" w:rsidRPr="000D6154" w:rsidRDefault="000D6154" w:rsidP="002F4C5E">
            <w:pPr>
              <w:spacing w:line="276" w:lineRule="auto"/>
              <w:jc w:val="right"/>
              <w:rPr>
                <w:sz w:val="16"/>
                <w:szCs w:val="16"/>
              </w:rPr>
            </w:pPr>
            <w:r w:rsidRPr="000D6154">
              <w:rPr>
                <w:rFonts w:ascii="Arial" w:hAnsi="Arial" w:cs="Arial"/>
                <w:color w:val="000000"/>
                <w:sz w:val="16"/>
                <w:szCs w:val="16"/>
              </w:rPr>
              <w:t>£59</w:t>
            </w:r>
            <w:r>
              <w:rPr>
                <w:rFonts w:ascii="Arial" w:hAnsi="Arial" w:cs="Arial"/>
                <w:color w:val="000000"/>
                <w:sz w:val="16"/>
                <w:szCs w:val="16"/>
              </w:rPr>
              <w:t>K</w:t>
            </w:r>
          </w:p>
        </w:tc>
        <w:tc>
          <w:tcPr>
            <w:tcW w:w="375" w:type="pct"/>
            <w:tcBorders>
              <w:top w:val="nil"/>
              <w:left w:val="nil"/>
              <w:bottom w:val="single" w:sz="4" w:space="0" w:color="auto"/>
              <w:right w:val="single" w:sz="4" w:space="0" w:color="auto"/>
            </w:tcBorders>
            <w:shd w:val="clear" w:color="auto" w:fill="auto"/>
            <w:vAlign w:val="center"/>
          </w:tcPr>
          <w:p w14:paraId="68E63042" w14:textId="1CCFCAE7" w:rsidR="000D6154" w:rsidRPr="000D6154" w:rsidRDefault="000D6154" w:rsidP="002F4C5E">
            <w:pPr>
              <w:spacing w:line="276" w:lineRule="auto"/>
              <w:jc w:val="right"/>
              <w:rPr>
                <w:sz w:val="16"/>
                <w:szCs w:val="16"/>
              </w:rPr>
            </w:pPr>
            <w:r w:rsidRPr="000D6154">
              <w:rPr>
                <w:rFonts w:ascii="Arial" w:hAnsi="Arial" w:cs="Arial"/>
                <w:color w:val="000000"/>
                <w:sz w:val="16"/>
                <w:szCs w:val="16"/>
              </w:rPr>
              <w:t>£77</w:t>
            </w:r>
            <w:r>
              <w:rPr>
                <w:rFonts w:ascii="Arial" w:hAnsi="Arial" w:cs="Arial"/>
                <w:color w:val="000000"/>
                <w:sz w:val="16"/>
                <w:szCs w:val="16"/>
              </w:rPr>
              <w:t>K</w:t>
            </w:r>
          </w:p>
        </w:tc>
        <w:tc>
          <w:tcPr>
            <w:tcW w:w="360" w:type="pct"/>
            <w:tcBorders>
              <w:top w:val="nil"/>
              <w:left w:val="nil"/>
              <w:bottom w:val="single" w:sz="4" w:space="0" w:color="auto"/>
              <w:right w:val="single" w:sz="4" w:space="0" w:color="auto"/>
            </w:tcBorders>
            <w:shd w:val="clear" w:color="auto" w:fill="auto"/>
            <w:vAlign w:val="center"/>
          </w:tcPr>
          <w:p w14:paraId="61D654B4" w14:textId="553DAECB" w:rsidR="000D6154" w:rsidRPr="000D6154" w:rsidRDefault="000D6154" w:rsidP="002F4C5E">
            <w:pPr>
              <w:spacing w:line="276" w:lineRule="auto"/>
              <w:jc w:val="right"/>
              <w:rPr>
                <w:sz w:val="16"/>
                <w:szCs w:val="16"/>
              </w:rPr>
            </w:pPr>
            <w:r w:rsidRPr="000D6154">
              <w:rPr>
                <w:rFonts w:ascii="Arial" w:hAnsi="Arial" w:cs="Arial"/>
                <w:color w:val="000000"/>
                <w:sz w:val="16"/>
                <w:szCs w:val="16"/>
              </w:rPr>
              <w:t>£65</w:t>
            </w:r>
            <w:r>
              <w:rPr>
                <w:rFonts w:ascii="Arial" w:hAnsi="Arial" w:cs="Arial"/>
                <w:color w:val="000000"/>
                <w:sz w:val="16"/>
                <w:szCs w:val="16"/>
              </w:rPr>
              <w:t>K</w:t>
            </w:r>
          </w:p>
        </w:tc>
        <w:tc>
          <w:tcPr>
            <w:tcW w:w="362" w:type="pct"/>
            <w:tcBorders>
              <w:top w:val="nil"/>
              <w:left w:val="nil"/>
              <w:bottom w:val="single" w:sz="4" w:space="0" w:color="auto"/>
              <w:right w:val="single" w:sz="4" w:space="0" w:color="auto"/>
            </w:tcBorders>
            <w:shd w:val="clear" w:color="auto" w:fill="auto"/>
            <w:vAlign w:val="center"/>
          </w:tcPr>
          <w:p w14:paraId="767C5979" w14:textId="31DCDA0F" w:rsidR="000D6154" w:rsidRPr="000D6154" w:rsidRDefault="000D6154" w:rsidP="002F4C5E">
            <w:pPr>
              <w:spacing w:line="276" w:lineRule="auto"/>
              <w:jc w:val="right"/>
              <w:rPr>
                <w:sz w:val="16"/>
                <w:szCs w:val="16"/>
              </w:rPr>
            </w:pPr>
            <w:r w:rsidRPr="000D6154">
              <w:rPr>
                <w:rFonts w:ascii="Arial" w:hAnsi="Arial" w:cs="Arial"/>
                <w:color w:val="000000"/>
                <w:sz w:val="16"/>
                <w:szCs w:val="16"/>
              </w:rPr>
              <w:t>£65</w:t>
            </w:r>
            <w:r>
              <w:rPr>
                <w:rFonts w:ascii="Arial" w:hAnsi="Arial" w:cs="Arial"/>
                <w:color w:val="000000"/>
                <w:sz w:val="16"/>
                <w:szCs w:val="16"/>
              </w:rPr>
              <w:t>K</w:t>
            </w:r>
          </w:p>
        </w:tc>
        <w:tc>
          <w:tcPr>
            <w:tcW w:w="380" w:type="pct"/>
            <w:tcBorders>
              <w:top w:val="nil"/>
              <w:left w:val="nil"/>
              <w:bottom w:val="single" w:sz="4" w:space="0" w:color="auto"/>
              <w:right w:val="single" w:sz="4" w:space="0" w:color="auto"/>
            </w:tcBorders>
            <w:shd w:val="clear" w:color="auto" w:fill="auto"/>
            <w:vAlign w:val="center"/>
          </w:tcPr>
          <w:p w14:paraId="1B81803A" w14:textId="03B20971" w:rsidR="000D6154" w:rsidRPr="000D6154" w:rsidRDefault="000D6154" w:rsidP="002F4C5E">
            <w:pPr>
              <w:spacing w:line="276" w:lineRule="auto"/>
              <w:jc w:val="right"/>
              <w:rPr>
                <w:sz w:val="16"/>
                <w:szCs w:val="16"/>
              </w:rPr>
            </w:pPr>
            <w:r w:rsidRPr="000D6154">
              <w:rPr>
                <w:rFonts w:ascii="Arial" w:hAnsi="Arial" w:cs="Arial"/>
                <w:color w:val="000000"/>
                <w:sz w:val="16"/>
                <w:szCs w:val="16"/>
              </w:rPr>
              <w:t>£67</w:t>
            </w:r>
            <w:r>
              <w:rPr>
                <w:rFonts w:ascii="Arial" w:hAnsi="Arial" w:cs="Arial"/>
                <w:color w:val="000000"/>
                <w:sz w:val="16"/>
                <w:szCs w:val="16"/>
              </w:rPr>
              <w:t>K</w:t>
            </w:r>
          </w:p>
        </w:tc>
        <w:tc>
          <w:tcPr>
            <w:tcW w:w="504" w:type="pct"/>
            <w:tcBorders>
              <w:top w:val="nil"/>
              <w:left w:val="nil"/>
              <w:bottom w:val="single" w:sz="4" w:space="0" w:color="auto"/>
              <w:right w:val="single" w:sz="4" w:space="0" w:color="auto"/>
            </w:tcBorders>
            <w:shd w:val="clear" w:color="000000" w:fill="F2F2F2"/>
            <w:vAlign w:val="center"/>
          </w:tcPr>
          <w:p w14:paraId="522101EB" w14:textId="6B2237AF" w:rsidR="000D6154" w:rsidRPr="000D6154" w:rsidRDefault="000D6154" w:rsidP="002F4C5E">
            <w:pPr>
              <w:spacing w:line="276" w:lineRule="auto"/>
              <w:jc w:val="right"/>
              <w:rPr>
                <w:b/>
                <w:sz w:val="16"/>
                <w:szCs w:val="16"/>
              </w:rPr>
            </w:pPr>
            <w:r w:rsidRPr="000D6154">
              <w:rPr>
                <w:rFonts w:ascii="Arial" w:hAnsi="Arial" w:cs="Arial"/>
                <w:sz w:val="16"/>
                <w:szCs w:val="16"/>
              </w:rPr>
              <w:t>-27.3%</w:t>
            </w:r>
          </w:p>
        </w:tc>
      </w:tr>
      <w:tr w:rsidR="000D6154" w:rsidRPr="00374C95" w14:paraId="3BB83D6B" w14:textId="77777777" w:rsidTr="000D6154">
        <w:trPr>
          <w:trHeight w:val="300"/>
        </w:trPr>
        <w:tc>
          <w:tcPr>
            <w:tcW w:w="9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A97FF0" w14:textId="77777777" w:rsidR="000D6154" w:rsidRPr="00C05756" w:rsidRDefault="000D6154" w:rsidP="000D6154">
            <w:pPr>
              <w:spacing w:line="276" w:lineRule="auto"/>
              <w:jc w:val="both"/>
              <w:rPr>
                <w:b/>
                <w:sz w:val="16"/>
                <w:szCs w:val="16"/>
              </w:rPr>
            </w:pPr>
            <w:r w:rsidRPr="00C05756">
              <w:rPr>
                <w:b/>
                <w:sz w:val="16"/>
                <w:szCs w:val="16"/>
              </w:rPr>
              <w:t>All Types</w:t>
            </w:r>
          </w:p>
        </w:tc>
        <w:tc>
          <w:tcPr>
            <w:tcW w:w="353" w:type="pct"/>
            <w:tcBorders>
              <w:top w:val="nil"/>
              <w:left w:val="single" w:sz="4" w:space="0" w:color="auto"/>
              <w:bottom w:val="single" w:sz="4" w:space="0" w:color="auto"/>
              <w:right w:val="single" w:sz="4" w:space="0" w:color="auto"/>
            </w:tcBorders>
            <w:shd w:val="clear" w:color="auto" w:fill="auto"/>
            <w:noWrap/>
            <w:vAlign w:val="center"/>
          </w:tcPr>
          <w:p w14:paraId="1F9DE1D2" w14:textId="6A227A6A" w:rsidR="000D6154" w:rsidRPr="000D6154" w:rsidRDefault="000D6154" w:rsidP="002F4C5E">
            <w:pPr>
              <w:spacing w:line="276" w:lineRule="auto"/>
              <w:jc w:val="right"/>
              <w:rPr>
                <w:b/>
                <w:sz w:val="16"/>
                <w:szCs w:val="16"/>
              </w:rPr>
            </w:pPr>
            <w:r w:rsidRPr="000D6154">
              <w:rPr>
                <w:rFonts w:ascii="Arial" w:hAnsi="Arial" w:cs="Arial"/>
                <w:b/>
                <w:bCs/>
                <w:color w:val="000000"/>
                <w:sz w:val="16"/>
                <w:szCs w:val="16"/>
              </w:rPr>
              <w:t>£105</w:t>
            </w:r>
            <w:r>
              <w:rPr>
                <w:rFonts w:ascii="Arial" w:hAnsi="Arial" w:cs="Arial"/>
                <w:b/>
                <w:bCs/>
                <w:color w:val="000000"/>
                <w:sz w:val="16"/>
                <w:szCs w:val="16"/>
              </w:rPr>
              <w:t>K</w:t>
            </w:r>
          </w:p>
        </w:tc>
        <w:tc>
          <w:tcPr>
            <w:tcW w:w="352" w:type="pct"/>
            <w:tcBorders>
              <w:top w:val="nil"/>
              <w:left w:val="nil"/>
              <w:bottom w:val="single" w:sz="4" w:space="0" w:color="auto"/>
              <w:right w:val="single" w:sz="4" w:space="0" w:color="auto"/>
            </w:tcBorders>
            <w:shd w:val="clear" w:color="auto" w:fill="auto"/>
            <w:noWrap/>
            <w:vAlign w:val="center"/>
          </w:tcPr>
          <w:p w14:paraId="06ED01A5" w14:textId="37D4255E" w:rsidR="000D6154" w:rsidRPr="000D6154" w:rsidRDefault="000D6154" w:rsidP="002F4C5E">
            <w:pPr>
              <w:spacing w:line="276" w:lineRule="auto"/>
              <w:jc w:val="right"/>
              <w:rPr>
                <w:b/>
                <w:sz w:val="16"/>
                <w:szCs w:val="16"/>
              </w:rPr>
            </w:pPr>
            <w:r w:rsidRPr="000D6154">
              <w:rPr>
                <w:rFonts w:ascii="Arial" w:hAnsi="Arial" w:cs="Arial"/>
                <w:b/>
                <w:bCs/>
                <w:color w:val="000000"/>
                <w:sz w:val="16"/>
                <w:szCs w:val="16"/>
              </w:rPr>
              <w:t>£1</w:t>
            </w:r>
            <w:r>
              <w:rPr>
                <w:rFonts w:ascii="Arial" w:hAnsi="Arial" w:cs="Arial"/>
                <w:b/>
                <w:bCs/>
                <w:color w:val="000000"/>
                <w:sz w:val="16"/>
                <w:szCs w:val="16"/>
              </w:rPr>
              <w:t>10K</w:t>
            </w:r>
          </w:p>
        </w:tc>
        <w:tc>
          <w:tcPr>
            <w:tcW w:w="352" w:type="pct"/>
            <w:tcBorders>
              <w:top w:val="nil"/>
              <w:left w:val="nil"/>
              <w:bottom w:val="single" w:sz="4" w:space="0" w:color="auto"/>
              <w:right w:val="single" w:sz="4" w:space="0" w:color="auto"/>
            </w:tcBorders>
            <w:shd w:val="clear" w:color="auto" w:fill="auto"/>
            <w:noWrap/>
            <w:vAlign w:val="center"/>
          </w:tcPr>
          <w:p w14:paraId="4D64CDF0" w14:textId="415E0384" w:rsidR="000D6154" w:rsidRPr="000D6154" w:rsidRDefault="000D6154" w:rsidP="002F4C5E">
            <w:pPr>
              <w:spacing w:line="276" w:lineRule="auto"/>
              <w:jc w:val="right"/>
              <w:rPr>
                <w:b/>
                <w:sz w:val="16"/>
                <w:szCs w:val="16"/>
              </w:rPr>
            </w:pPr>
            <w:r w:rsidRPr="000D6154">
              <w:rPr>
                <w:rFonts w:ascii="Arial" w:hAnsi="Arial" w:cs="Arial"/>
                <w:b/>
                <w:bCs/>
                <w:color w:val="000000"/>
                <w:sz w:val="16"/>
                <w:szCs w:val="16"/>
              </w:rPr>
              <w:t>£10</w:t>
            </w:r>
            <w:r>
              <w:rPr>
                <w:rFonts w:ascii="Arial" w:hAnsi="Arial" w:cs="Arial"/>
                <w:b/>
                <w:bCs/>
                <w:color w:val="000000"/>
                <w:sz w:val="16"/>
                <w:szCs w:val="16"/>
              </w:rPr>
              <w:t>5K</w:t>
            </w:r>
          </w:p>
        </w:tc>
        <w:tc>
          <w:tcPr>
            <w:tcW w:w="351" w:type="pct"/>
            <w:tcBorders>
              <w:top w:val="nil"/>
              <w:left w:val="nil"/>
              <w:bottom w:val="single" w:sz="4" w:space="0" w:color="auto"/>
              <w:right w:val="single" w:sz="4" w:space="0" w:color="auto"/>
            </w:tcBorders>
            <w:shd w:val="clear" w:color="auto" w:fill="auto"/>
            <w:vAlign w:val="center"/>
          </w:tcPr>
          <w:p w14:paraId="2F3D5677" w14:textId="0D294984" w:rsidR="000D6154" w:rsidRPr="000D6154" w:rsidRDefault="000D6154" w:rsidP="002F4C5E">
            <w:pPr>
              <w:spacing w:line="276" w:lineRule="auto"/>
              <w:jc w:val="right"/>
              <w:rPr>
                <w:b/>
                <w:sz w:val="16"/>
                <w:szCs w:val="16"/>
              </w:rPr>
            </w:pPr>
            <w:r w:rsidRPr="000D6154">
              <w:rPr>
                <w:rFonts w:ascii="Arial" w:hAnsi="Arial" w:cs="Arial"/>
                <w:b/>
                <w:bCs/>
                <w:color w:val="000000"/>
                <w:sz w:val="16"/>
                <w:szCs w:val="16"/>
              </w:rPr>
              <w:t>£11</w:t>
            </w:r>
            <w:r>
              <w:rPr>
                <w:rFonts w:ascii="Arial" w:hAnsi="Arial" w:cs="Arial"/>
                <w:b/>
                <w:bCs/>
                <w:color w:val="000000"/>
                <w:sz w:val="16"/>
                <w:szCs w:val="16"/>
              </w:rPr>
              <w:t>5K</w:t>
            </w:r>
          </w:p>
        </w:tc>
        <w:tc>
          <w:tcPr>
            <w:tcW w:w="352" w:type="pct"/>
            <w:tcBorders>
              <w:top w:val="nil"/>
              <w:left w:val="nil"/>
              <w:bottom w:val="single" w:sz="4" w:space="0" w:color="auto"/>
              <w:right w:val="single" w:sz="4" w:space="0" w:color="auto"/>
            </w:tcBorders>
            <w:shd w:val="clear" w:color="auto" w:fill="auto"/>
            <w:vAlign w:val="center"/>
          </w:tcPr>
          <w:p w14:paraId="5F2AEABF" w14:textId="0FF12855" w:rsidR="000D6154" w:rsidRPr="000D6154" w:rsidRDefault="000D6154" w:rsidP="002F4C5E">
            <w:pPr>
              <w:spacing w:line="276" w:lineRule="auto"/>
              <w:jc w:val="right"/>
              <w:rPr>
                <w:b/>
                <w:sz w:val="16"/>
                <w:szCs w:val="16"/>
              </w:rPr>
            </w:pPr>
            <w:r w:rsidRPr="000D6154">
              <w:rPr>
                <w:rFonts w:ascii="Arial" w:hAnsi="Arial" w:cs="Arial"/>
                <w:b/>
                <w:bCs/>
                <w:color w:val="000000"/>
                <w:sz w:val="16"/>
                <w:szCs w:val="16"/>
              </w:rPr>
              <w:t>£110</w:t>
            </w:r>
            <w:r>
              <w:rPr>
                <w:rFonts w:ascii="Arial" w:hAnsi="Arial" w:cs="Arial"/>
                <w:b/>
                <w:bCs/>
                <w:color w:val="000000"/>
                <w:sz w:val="16"/>
                <w:szCs w:val="16"/>
              </w:rPr>
              <w:t>K</w:t>
            </w:r>
          </w:p>
        </w:tc>
        <w:tc>
          <w:tcPr>
            <w:tcW w:w="353" w:type="pct"/>
            <w:tcBorders>
              <w:top w:val="nil"/>
              <w:left w:val="nil"/>
              <w:bottom w:val="single" w:sz="4" w:space="0" w:color="auto"/>
              <w:right w:val="single" w:sz="4" w:space="0" w:color="auto"/>
            </w:tcBorders>
            <w:shd w:val="clear" w:color="auto" w:fill="auto"/>
            <w:vAlign w:val="center"/>
          </w:tcPr>
          <w:p w14:paraId="0C7C8139" w14:textId="7AD968A1" w:rsidR="000D6154" w:rsidRPr="000D6154" w:rsidRDefault="000D6154" w:rsidP="002F4C5E">
            <w:pPr>
              <w:spacing w:line="276" w:lineRule="auto"/>
              <w:jc w:val="right"/>
              <w:rPr>
                <w:b/>
                <w:sz w:val="16"/>
                <w:szCs w:val="16"/>
              </w:rPr>
            </w:pPr>
            <w:r w:rsidRPr="000D6154">
              <w:rPr>
                <w:rFonts w:ascii="Arial" w:hAnsi="Arial" w:cs="Arial"/>
                <w:b/>
                <w:bCs/>
                <w:color w:val="000000"/>
                <w:sz w:val="16"/>
                <w:szCs w:val="16"/>
              </w:rPr>
              <w:t>£10</w:t>
            </w:r>
            <w:r>
              <w:rPr>
                <w:rFonts w:ascii="Arial" w:hAnsi="Arial" w:cs="Arial"/>
                <w:b/>
                <w:bCs/>
                <w:color w:val="000000"/>
                <w:sz w:val="16"/>
                <w:szCs w:val="16"/>
              </w:rPr>
              <w:t>9K</w:t>
            </w:r>
          </w:p>
        </w:tc>
        <w:tc>
          <w:tcPr>
            <w:tcW w:w="375" w:type="pct"/>
            <w:tcBorders>
              <w:top w:val="nil"/>
              <w:left w:val="nil"/>
              <w:bottom w:val="single" w:sz="4" w:space="0" w:color="auto"/>
              <w:right w:val="single" w:sz="4" w:space="0" w:color="auto"/>
            </w:tcBorders>
            <w:shd w:val="clear" w:color="auto" w:fill="auto"/>
            <w:vAlign w:val="center"/>
          </w:tcPr>
          <w:p w14:paraId="1F762766" w14:textId="06AB3966" w:rsidR="000D6154" w:rsidRPr="000D6154" w:rsidRDefault="000D6154" w:rsidP="002F4C5E">
            <w:pPr>
              <w:spacing w:line="276" w:lineRule="auto"/>
              <w:jc w:val="right"/>
              <w:rPr>
                <w:b/>
                <w:sz w:val="16"/>
                <w:szCs w:val="16"/>
              </w:rPr>
            </w:pPr>
            <w:r w:rsidRPr="000D6154">
              <w:rPr>
                <w:rFonts w:ascii="Arial" w:hAnsi="Arial" w:cs="Arial"/>
                <w:b/>
                <w:bCs/>
                <w:color w:val="000000"/>
                <w:sz w:val="16"/>
                <w:szCs w:val="16"/>
              </w:rPr>
              <w:t>£110</w:t>
            </w:r>
            <w:r>
              <w:rPr>
                <w:rFonts w:ascii="Arial" w:hAnsi="Arial" w:cs="Arial"/>
                <w:b/>
                <w:bCs/>
                <w:color w:val="000000"/>
                <w:sz w:val="16"/>
                <w:szCs w:val="16"/>
              </w:rPr>
              <w:t>K</w:t>
            </w:r>
          </w:p>
        </w:tc>
        <w:tc>
          <w:tcPr>
            <w:tcW w:w="360" w:type="pct"/>
            <w:tcBorders>
              <w:top w:val="nil"/>
              <w:left w:val="nil"/>
              <w:bottom w:val="single" w:sz="4" w:space="0" w:color="auto"/>
              <w:right w:val="single" w:sz="4" w:space="0" w:color="auto"/>
            </w:tcBorders>
            <w:shd w:val="clear" w:color="auto" w:fill="auto"/>
            <w:vAlign w:val="center"/>
          </w:tcPr>
          <w:p w14:paraId="12D236AB" w14:textId="49831CB4" w:rsidR="000D6154" w:rsidRPr="000D6154" w:rsidRDefault="000D6154" w:rsidP="002F4C5E">
            <w:pPr>
              <w:spacing w:line="276" w:lineRule="auto"/>
              <w:jc w:val="right"/>
              <w:rPr>
                <w:b/>
                <w:sz w:val="16"/>
                <w:szCs w:val="16"/>
              </w:rPr>
            </w:pPr>
            <w:r w:rsidRPr="000D6154">
              <w:rPr>
                <w:rFonts w:ascii="Arial" w:hAnsi="Arial" w:cs="Arial"/>
                <w:b/>
                <w:bCs/>
                <w:color w:val="000000"/>
                <w:sz w:val="16"/>
                <w:szCs w:val="16"/>
              </w:rPr>
              <w:t>£125</w:t>
            </w:r>
            <w:r>
              <w:rPr>
                <w:rFonts w:ascii="Arial" w:hAnsi="Arial" w:cs="Arial"/>
                <w:b/>
                <w:bCs/>
                <w:color w:val="000000"/>
                <w:sz w:val="16"/>
                <w:szCs w:val="16"/>
              </w:rPr>
              <w:t>K</w:t>
            </w:r>
          </w:p>
        </w:tc>
        <w:tc>
          <w:tcPr>
            <w:tcW w:w="362" w:type="pct"/>
            <w:tcBorders>
              <w:top w:val="nil"/>
              <w:left w:val="nil"/>
              <w:bottom w:val="single" w:sz="4" w:space="0" w:color="auto"/>
              <w:right w:val="single" w:sz="4" w:space="0" w:color="auto"/>
            </w:tcBorders>
            <w:shd w:val="clear" w:color="auto" w:fill="auto"/>
            <w:vAlign w:val="center"/>
          </w:tcPr>
          <w:p w14:paraId="258803F5" w14:textId="4873D801" w:rsidR="000D6154" w:rsidRPr="000D6154" w:rsidRDefault="000D6154" w:rsidP="002F4C5E">
            <w:pPr>
              <w:spacing w:line="276" w:lineRule="auto"/>
              <w:jc w:val="right"/>
              <w:rPr>
                <w:b/>
                <w:sz w:val="16"/>
                <w:szCs w:val="16"/>
              </w:rPr>
            </w:pPr>
            <w:r w:rsidRPr="000D6154">
              <w:rPr>
                <w:rFonts w:ascii="Arial" w:hAnsi="Arial" w:cs="Arial"/>
                <w:b/>
                <w:bCs/>
                <w:color w:val="000000"/>
                <w:sz w:val="16"/>
                <w:szCs w:val="16"/>
              </w:rPr>
              <w:t>£120</w:t>
            </w:r>
            <w:r>
              <w:rPr>
                <w:rFonts w:ascii="Arial" w:hAnsi="Arial" w:cs="Arial"/>
                <w:b/>
                <w:bCs/>
                <w:color w:val="000000"/>
                <w:sz w:val="16"/>
                <w:szCs w:val="16"/>
              </w:rPr>
              <w:t>K</w:t>
            </w:r>
          </w:p>
        </w:tc>
        <w:tc>
          <w:tcPr>
            <w:tcW w:w="380" w:type="pct"/>
            <w:tcBorders>
              <w:top w:val="nil"/>
              <w:left w:val="nil"/>
              <w:bottom w:val="single" w:sz="4" w:space="0" w:color="auto"/>
              <w:right w:val="single" w:sz="4" w:space="0" w:color="auto"/>
            </w:tcBorders>
            <w:shd w:val="clear" w:color="auto" w:fill="auto"/>
            <w:vAlign w:val="center"/>
          </w:tcPr>
          <w:p w14:paraId="6E0C8C91" w14:textId="6D7C7D18" w:rsidR="000D6154" w:rsidRPr="000D6154" w:rsidRDefault="000D6154" w:rsidP="002F4C5E">
            <w:pPr>
              <w:spacing w:line="276" w:lineRule="auto"/>
              <w:jc w:val="right"/>
              <w:rPr>
                <w:b/>
                <w:sz w:val="16"/>
                <w:szCs w:val="16"/>
              </w:rPr>
            </w:pPr>
            <w:r w:rsidRPr="000D6154">
              <w:rPr>
                <w:rFonts w:ascii="Arial" w:hAnsi="Arial" w:cs="Arial"/>
                <w:b/>
                <w:bCs/>
                <w:color w:val="000000"/>
                <w:sz w:val="16"/>
                <w:szCs w:val="16"/>
              </w:rPr>
              <w:t>£128</w:t>
            </w:r>
            <w:r>
              <w:rPr>
                <w:rFonts w:ascii="Arial" w:hAnsi="Arial" w:cs="Arial"/>
                <w:b/>
                <w:bCs/>
                <w:color w:val="000000"/>
                <w:sz w:val="16"/>
                <w:szCs w:val="16"/>
              </w:rPr>
              <w:t>K</w:t>
            </w:r>
          </w:p>
        </w:tc>
        <w:tc>
          <w:tcPr>
            <w:tcW w:w="504" w:type="pct"/>
            <w:tcBorders>
              <w:top w:val="nil"/>
              <w:left w:val="nil"/>
              <w:bottom w:val="single" w:sz="4" w:space="0" w:color="auto"/>
              <w:right w:val="single" w:sz="4" w:space="0" w:color="auto"/>
            </w:tcBorders>
            <w:shd w:val="clear" w:color="000000" w:fill="F2F2F2"/>
            <w:vAlign w:val="center"/>
          </w:tcPr>
          <w:p w14:paraId="72798A36" w14:textId="68374EDB" w:rsidR="000D6154" w:rsidRPr="000D6154" w:rsidRDefault="000D6154" w:rsidP="002F4C5E">
            <w:pPr>
              <w:spacing w:line="276" w:lineRule="auto"/>
              <w:jc w:val="right"/>
              <w:rPr>
                <w:b/>
                <w:sz w:val="16"/>
                <w:szCs w:val="16"/>
              </w:rPr>
            </w:pPr>
            <w:r w:rsidRPr="000D6154">
              <w:rPr>
                <w:rFonts w:ascii="Arial" w:hAnsi="Arial" w:cs="Arial"/>
                <w:sz w:val="16"/>
                <w:szCs w:val="16"/>
              </w:rPr>
              <w:t>21.9%</w:t>
            </w:r>
          </w:p>
        </w:tc>
      </w:tr>
    </w:tbl>
    <w:p w14:paraId="2618F8D5" w14:textId="77777777" w:rsidR="008129C3" w:rsidRPr="00374C95" w:rsidRDefault="008129C3" w:rsidP="00252C91">
      <w:pPr>
        <w:pStyle w:val="Source"/>
        <w:jc w:val="both"/>
      </w:pPr>
      <w:r w:rsidRPr="00374C95">
        <w:t>Source: Land Registry PPD</w:t>
      </w:r>
    </w:p>
    <w:p w14:paraId="270EB762" w14:textId="77777777" w:rsidR="008129C3" w:rsidRPr="00AF2A60" w:rsidRDefault="008129C3" w:rsidP="00252C91">
      <w:pPr>
        <w:pStyle w:val="Heading3"/>
        <w:jc w:val="both"/>
      </w:pPr>
      <w:bookmarkStart w:id="92" w:name="_Toc31722647"/>
      <w:bookmarkStart w:id="93" w:name="_Toc102731855"/>
      <w:r>
        <w:t>Income</w:t>
      </w:r>
      <w:bookmarkEnd w:id="92"/>
      <w:bookmarkEnd w:id="93"/>
    </w:p>
    <w:p w14:paraId="36940B4D" w14:textId="77777777" w:rsidR="00290C33" w:rsidRDefault="008129C3" w:rsidP="00252C91">
      <w:pPr>
        <w:pStyle w:val="Numberedtext"/>
        <w:jc w:val="both"/>
      </w:pPr>
      <w:r>
        <w:t>Household i</w:t>
      </w:r>
      <w:r w:rsidRPr="00D272A0">
        <w:t xml:space="preserve">ncomes </w:t>
      </w:r>
      <w:r>
        <w:t xml:space="preserve">determine </w:t>
      </w:r>
      <w:r w:rsidRPr="00D272A0">
        <w:t>the ability of households to exercise choice in the housing market</w:t>
      </w:r>
      <w:r>
        <w:t xml:space="preserve">, </w:t>
      </w:r>
      <w:r w:rsidRPr="00D272A0">
        <w:t xml:space="preserve">and </w:t>
      </w:r>
      <w:r>
        <w:t>consequently the level of need for affordable housing</w:t>
      </w:r>
      <w:r w:rsidRPr="00D272A0">
        <w:t xml:space="preserve"> products. </w:t>
      </w:r>
      <w:r>
        <w:t>T</w:t>
      </w:r>
      <w:r w:rsidRPr="00BB2201">
        <w:t xml:space="preserve">wo sources of data </w:t>
      </w:r>
      <w:r>
        <w:t xml:space="preserve">are used to examine </w:t>
      </w:r>
      <w:r w:rsidRPr="00BB2201">
        <w:t>household incomes in the NA.</w:t>
      </w:r>
    </w:p>
    <w:p w14:paraId="760B69E7" w14:textId="080B2CB2" w:rsidR="00290C33" w:rsidRDefault="008129C3" w:rsidP="00252C91">
      <w:pPr>
        <w:pStyle w:val="Numberedtext"/>
        <w:jc w:val="both"/>
      </w:pPr>
      <w:r w:rsidRPr="004C50E7">
        <w:t xml:space="preserve">The first source is ONS’s estimates of incomes in small areas. This is locally specific but limited to the overall average income (i.e. it does not provide the average income of lower earners). </w:t>
      </w:r>
      <w:r>
        <w:t>The average total household income locally was £</w:t>
      </w:r>
      <w:r w:rsidR="00202750">
        <w:t xml:space="preserve">38,750 </w:t>
      </w:r>
      <w:r>
        <w:t>in</w:t>
      </w:r>
      <w:r w:rsidR="00F511A0">
        <w:t xml:space="preserve"> 20</w:t>
      </w:r>
      <w:r w:rsidR="007363EA">
        <w:t>20</w:t>
      </w:r>
      <w:r w:rsidR="00F511A0">
        <w:t xml:space="preserve"> (the most recent year for this dataset)</w:t>
      </w:r>
      <w:r>
        <w:t xml:space="preserve">. </w:t>
      </w:r>
      <w:r w:rsidR="006C080B">
        <w:t>Discussion about</w:t>
      </w:r>
      <w:r>
        <w:t xml:space="preserve"> the area to which this data applies is provided in Appendix A.</w:t>
      </w:r>
    </w:p>
    <w:p w14:paraId="7CE37D93" w14:textId="1E00B887" w:rsidR="00290C33" w:rsidRDefault="008129C3" w:rsidP="00252C91">
      <w:pPr>
        <w:pStyle w:val="Numberedtext"/>
        <w:jc w:val="both"/>
      </w:pPr>
      <w:r w:rsidRPr="004C50E7">
        <w:t>The second source is ONS’s annual estimates of UK employee earnings. This provides lower quartile average earnings (i.e. the income of the lowest 25% of earners). However, it is only available at the Local Authority level. It also relates to individual earnings. While this is an ac</w:t>
      </w:r>
      <w:r w:rsidRPr="00202750">
        <w:t xml:space="preserve">curate representation of household incomes where there is only one earner, it does not represent household income where there are two or more people earning. </w:t>
      </w:r>
      <w:r w:rsidR="000D6154" w:rsidRPr="00202750">
        <w:t>Durham</w:t>
      </w:r>
      <w:r w:rsidRPr="00202750">
        <w:t>’s gross individual lower quartile annual earnings were £</w:t>
      </w:r>
      <w:r w:rsidR="00202750" w:rsidRPr="00202750">
        <w:t xml:space="preserve">17,800 </w:t>
      </w:r>
      <w:r w:rsidRPr="00202750">
        <w:t xml:space="preserve">in </w:t>
      </w:r>
      <w:r w:rsidR="00F94223" w:rsidRPr="00202750">
        <w:t>202</w:t>
      </w:r>
      <w:r w:rsidR="005B38A9">
        <w:t>2</w:t>
      </w:r>
      <w:r w:rsidR="00F94223" w:rsidRPr="00202750">
        <w:t xml:space="preserve">. </w:t>
      </w:r>
      <w:r w:rsidRPr="00202750">
        <w:t>To estimate the income of households with two lower quartile earners, this figure is doubled to £</w:t>
      </w:r>
      <w:r w:rsidR="00202750" w:rsidRPr="00202750">
        <w:t>35,600</w:t>
      </w:r>
      <w:r w:rsidRPr="00202750">
        <w:t>.</w:t>
      </w:r>
    </w:p>
    <w:p w14:paraId="6E2F9812" w14:textId="1BC61E7D" w:rsidR="008129C3" w:rsidRPr="00AD7824" w:rsidRDefault="008129C3" w:rsidP="00252C91">
      <w:pPr>
        <w:pStyle w:val="Numberedtext"/>
        <w:jc w:val="both"/>
      </w:pPr>
      <w:r w:rsidRPr="00AD7824">
        <w:t xml:space="preserve">It is clear from this data that there is a large gap between the spending power of average </w:t>
      </w:r>
      <w:r w:rsidR="001745DA">
        <w:t>income</w:t>
      </w:r>
      <w:r w:rsidR="001745DA" w:rsidRPr="00AD7824">
        <w:t xml:space="preserve"> </w:t>
      </w:r>
      <w:r w:rsidRPr="00AD7824">
        <w:t>households and those</w:t>
      </w:r>
      <w:r w:rsidR="001745DA">
        <w:t xml:space="preserve"> on</w:t>
      </w:r>
      <w:r w:rsidRPr="00AD7824">
        <w:t xml:space="preserve"> the lowest 25% of incomes</w:t>
      </w:r>
      <w:r w:rsidR="001745DA">
        <w:t xml:space="preserve"> </w:t>
      </w:r>
      <w:r w:rsidRPr="00AD7824">
        <w:t>where the household in question has one earner only.</w:t>
      </w:r>
    </w:p>
    <w:p w14:paraId="32E9E619" w14:textId="77777777" w:rsidR="008129C3" w:rsidRDefault="008129C3" w:rsidP="00252C91">
      <w:pPr>
        <w:pStyle w:val="Heading3"/>
        <w:jc w:val="both"/>
      </w:pPr>
      <w:bookmarkStart w:id="94" w:name="_Toc2690276"/>
      <w:bookmarkStart w:id="95" w:name="_Toc31722648"/>
      <w:bookmarkStart w:id="96" w:name="_Toc102731856"/>
      <w:r>
        <w:t xml:space="preserve">Affordability </w:t>
      </w:r>
      <w:r w:rsidRPr="00440A3E">
        <w:t>Thresholds</w:t>
      </w:r>
      <w:bookmarkEnd w:id="94"/>
      <w:bookmarkEnd w:id="95"/>
      <w:bookmarkEnd w:id="96"/>
    </w:p>
    <w:p w14:paraId="2585C395" w14:textId="77777777" w:rsidR="00290C33" w:rsidRDefault="008129C3" w:rsidP="00252C91">
      <w:pPr>
        <w:pStyle w:val="Numberedtext"/>
        <w:jc w:val="both"/>
      </w:pPr>
      <w:r w:rsidRPr="00AD7824">
        <w:t xml:space="preserve">To gain a clearer understanding of local affordability, it is useful to understand what levels of income are required to afford different tenures. This is done using ‘affordability thresholds’: the estimated amount of annual income required to cover the cost of rent or a mortgage given local housing </w:t>
      </w:r>
      <w:proofErr w:type="gramStart"/>
      <w:r w:rsidRPr="00AD7824">
        <w:t>prices</w:t>
      </w:r>
      <w:proofErr w:type="gramEnd"/>
      <w:r w:rsidRPr="00AD7824">
        <w:t xml:space="preserve">. </w:t>
      </w:r>
    </w:p>
    <w:p w14:paraId="420443A5" w14:textId="77374672" w:rsidR="00290C33" w:rsidRDefault="008129C3" w:rsidP="00252C91">
      <w:pPr>
        <w:pStyle w:val="Numberedtext"/>
        <w:jc w:val="both"/>
      </w:pPr>
      <w:r w:rsidRPr="00AD7824">
        <w:t xml:space="preserve">AECOM has determined thresholds for the income required in </w:t>
      </w:r>
      <w:r w:rsidR="00D143F2">
        <w:t>Consett</w:t>
      </w:r>
      <w:r w:rsidRPr="00AD7824">
        <w:t xml:space="preserve"> to buy a home in the open market (average and entry-level prices), and the income required to afford </w:t>
      </w:r>
      <w:r w:rsidRPr="00AD7824">
        <w:lastRenderedPageBreak/>
        <w:t xml:space="preserve">private </w:t>
      </w:r>
      <w:proofErr w:type="gramStart"/>
      <w:r w:rsidRPr="00AD7824">
        <w:t>rent</w:t>
      </w:r>
      <w:proofErr w:type="gramEnd"/>
      <w:r w:rsidRPr="00AD7824">
        <w:t xml:space="preserve"> and the range of Affordable Housing tenures as set out in the NPPF.  These calculations are detailed and discussed in more detail in Appendix </w:t>
      </w:r>
      <w:r w:rsidR="00F511A0">
        <w:t>C</w:t>
      </w:r>
      <w:r w:rsidRPr="00AD7824">
        <w:t xml:space="preserve">. </w:t>
      </w:r>
    </w:p>
    <w:p w14:paraId="7C4DCAC0" w14:textId="77777777" w:rsidR="00290C33" w:rsidRPr="001506E6" w:rsidRDefault="008129C3" w:rsidP="00252C91">
      <w:pPr>
        <w:pStyle w:val="Numberedtext"/>
        <w:jc w:val="both"/>
      </w:pPr>
      <w:r w:rsidRPr="00AD7824">
        <w:t>The key assumptions made in assessing the affordability of different tenures are explained alongside the calculations, but it is worth noting here that we have assumed that the maximum percentage of household income that should be spent on rent is 30% and that mortgage financing will be offered at a maximum of 3.5 times household income.</w:t>
      </w:r>
      <w:r w:rsidR="000357FE" w:rsidRPr="000357FE">
        <w:t xml:space="preserve"> </w:t>
      </w:r>
      <w:r w:rsidR="000357FE">
        <w:t xml:space="preserve">These are standard assumptions across housing needs assessments at neighbourhood and local authority scale although different approaches are sometimes </w:t>
      </w:r>
      <w:proofErr w:type="gramStart"/>
      <w:r w:rsidR="000357FE">
        <w:t>taken</w:t>
      </w:r>
      <w:proofErr w:type="gramEnd"/>
      <w:r w:rsidR="000357FE">
        <w:t xml:space="preserve"> and a case can be made for alternatives. </w:t>
      </w:r>
      <w:r w:rsidR="00CC2FB5">
        <w:t xml:space="preserve">This is discussed in more detail at the </w:t>
      </w:r>
      <w:r w:rsidR="00CC2FB5" w:rsidRPr="001506E6">
        <w:t>start of Appendix C.</w:t>
      </w:r>
    </w:p>
    <w:p w14:paraId="3DD78D24" w14:textId="33474A54" w:rsidR="008129C3" w:rsidRPr="001506E6" w:rsidRDefault="004D2A8B" w:rsidP="00252C91">
      <w:pPr>
        <w:pStyle w:val="Numberedtext"/>
        <w:jc w:val="both"/>
      </w:pPr>
      <w:r w:rsidRPr="001506E6">
        <w:t xml:space="preserve">Table </w:t>
      </w:r>
      <w:r w:rsidR="001506E6" w:rsidRPr="001506E6">
        <w:t>4-4</w:t>
      </w:r>
      <w:r w:rsidRPr="001506E6">
        <w:t xml:space="preserve"> </w:t>
      </w:r>
      <w:proofErr w:type="spellStart"/>
      <w:r w:rsidR="008129C3" w:rsidRPr="001506E6">
        <w:t>summarises</w:t>
      </w:r>
      <w:proofErr w:type="spellEnd"/>
      <w:r w:rsidR="008129C3" w:rsidRPr="001506E6">
        <w:t xml:space="preserve"> the estimated cost of each tenure, the annual income required to support these costs within the NA, and whether local incomes are sufficient. The income required column assumes the household already has access to a deposit (which we have assumed to be 10% of the value to be purchased) but does not reflect the possibility that households may already hold equity from an existing property. Although these factors may be crucial to whether housing will be affordable, they are highly dependent on individual circumstances that cannot be anticipated here.</w:t>
      </w:r>
    </w:p>
    <w:p w14:paraId="097B0E22" w14:textId="3DB91568" w:rsidR="008129C3" w:rsidRPr="00764F1A" w:rsidRDefault="008129C3" w:rsidP="00252C91">
      <w:pPr>
        <w:pStyle w:val="Caption"/>
        <w:jc w:val="both"/>
        <w:rPr>
          <w:color w:val="auto"/>
        </w:rPr>
      </w:pPr>
      <w:bookmarkStart w:id="97" w:name="_Ref534191054"/>
      <w:r w:rsidRPr="001506E6">
        <w:rPr>
          <w:color w:val="auto"/>
        </w:rPr>
        <w:t>T</w:t>
      </w:r>
      <w:bookmarkEnd w:id="97"/>
      <w:r w:rsidR="004D2A8B" w:rsidRPr="001506E6">
        <w:rPr>
          <w:color w:val="auto"/>
        </w:rPr>
        <w:t xml:space="preserve">able </w:t>
      </w:r>
      <w:r w:rsidR="001506E6" w:rsidRPr="001506E6">
        <w:rPr>
          <w:color w:val="auto"/>
        </w:rPr>
        <w:t>4-4</w:t>
      </w:r>
      <w:r w:rsidRPr="001506E6">
        <w:rPr>
          <w:color w:val="auto"/>
        </w:rPr>
        <w:t xml:space="preserve">: Affordability thresholds in </w:t>
      </w:r>
      <w:r w:rsidR="00D143F2" w:rsidRPr="001506E6">
        <w:rPr>
          <w:color w:val="auto"/>
        </w:rPr>
        <w:t>Consett</w:t>
      </w:r>
      <w:r w:rsidRPr="001506E6">
        <w:rPr>
          <w:color w:val="auto"/>
        </w:rPr>
        <w:t xml:space="preserve"> (income required</w:t>
      </w:r>
      <w:r w:rsidRPr="00764F1A">
        <w:rPr>
          <w:color w:val="auto"/>
        </w:rPr>
        <w:t xml:space="preserve">, £) </w:t>
      </w:r>
    </w:p>
    <w:tbl>
      <w:tblPr>
        <w:tblW w:w="9824" w:type="dxa"/>
        <w:tblLayout w:type="fixed"/>
        <w:tblLook w:val="04A0" w:firstRow="1" w:lastRow="0" w:firstColumn="1" w:lastColumn="0" w:noHBand="0" w:noVBand="1"/>
      </w:tblPr>
      <w:tblGrid>
        <w:gridCol w:w="2547"/>
        <w:gridCol w:w="1163"/>
        <w:gridCol w:w="1020"/>
        <w:gridCol w:w="1201"/>
        <w:gridCol w:w="1297"/>
        <w:gridCol w:w="1298"/>
        <w:gridCol w:w="1298"/>
      </w:tblGrid>
      <w:tr w:rsidR="008129C3" w:rsidRPr="00FA11CB" w14:paraId="36031D57" w14:textId="77777777" w:rsidTr="00021F51">
        <w:trPr>
          <w:trHeight w:val="780"/>
        </w:trPr>
        <w:tc>
          <w:tcPr>
            <w:tcW w:w="2547" w:type="dxa"/>
            <w:tcBorders>
              <w:top w:val="single" w:sz="4" w:space="0" w:color="auto"/>
              <w:left w:val="single" w:sz="4" w:space="0" w:color="auto"/>
              <w:bottom w:val="nil"/>
              <w:right w:val="single" w:sz="4" w:space="0" w:color="auto"/>
            </w:tcBorders>
            <w:shd w:val="clear" w:color="000000" w:fill="FFFFFF"/>
            <w:vAlign w:val="center"/>
            <w:hideMark/>
          </w:tcPr>
          <w:p w14:paraId="50D9EFEA" w14:textId="77777777" w:rsidR="008129C3" w:rsidRPr="00C05756" w:rsidRDefault="008129C3" w:rsidP="00252C91">
            <w:pPr>
              <w:spacing w:line="276" w:lineRule="auto"/>
              <w:jc w:val="both"/>
              <w:rPr>
                <w:b/>
                <w:bCs/>
                <w:sz w:val="18"/>
              </w:rPr>
            </w:pPr>
            <w:r w:rsidRPr="00C05756">
              <w:rPr>
                <w:b/>
                <w:bCs/>
                <w:sz w:val="18"/>
              </w:rPr>
              <w:t>Tenure</w:t>
            </w:r>
          </w:p>
        </w:tc>
        <w:tc>
          <w:tcPr>
            <w:tcW w:w="1163" w:type="dxa"/>
            <w:tcBorders>
              <w:top w:val="single" w:sz="4" w:space="0" w:color="auto"/>
              <w:left w:val="nil"/>
              <w:bottom w:val="nil"/>
              <w:right w:val="single" w:sz="4" w:space="0" w:color="auto"/>
            </w:tcBorders>
            <w:shd w:val="clear" w:color="000000" w:fill="FFFFFF"/>
            <w:vAlign w:val="center"/>
            <w:hideMark/>
          </w:tcPr>
          <w:p w14:paraId="53D5BB60" w14:textId="77777777" w:rsidR="008129C3" w:rsidRPr="00C05756" w:rsidRDefault="008129C3" w:rsidP="00021F51">
            <w:pPr>
              <w:spacing w:line="276" w:lineRule="auto"/>
              <w:jc w:val="center"/>
              <w:rPr>
                <w:b/>
                <w:bCs/>
                <w:sz w:val="18"/>
              </w:rPr>
            </w:pPr>
            <w:r w:rsidRPr="00C05756">
              <w:rPr>
                <w:b/>
                <w:bCs/>
                <w:sz w:val="18"/>
              </w:rPr>
              <w:t>Mortgage value (90% of price)</w:t>
            </w:r>
          </w:p>
        </w:tc>
        <w:tc>
          <w:tcPr>
            <w:tcW w:w="1020" w:type="dxa"/>
            <w:tcBorders>
              <w:top w:val="single" w:sz="4" w:space="0" w:color="auto"/>
              <w:left w:val="nil"/>
              <w:bottom w:val="nil"/>
              <w:right w:val="single" w:sz="4" w:space="0" w:color="auto"/>
            </w:tcBorders>
            <w:shd w:val="clear" w:color="000000" w:fill="FFFFFF"/>
            <w:vAlign w:val="center"/>
            <w:hideMark/>
          </w:tcPr>
          <w:p w14:paraId="498223C5" w14:textId="743900B6" w:rsidR="008129C3" w:rsidRPr="00C05756" w:rsidRDefault="008129C3" w:rsidP="00021F51">
            <w:pPr>
              <w:spacing w:line="276" w:lineRule="auto"/>
              <w:jc w:val="center"/>
              <w:rPr>
                <w:b/>
                <w:bCs/>
                <w:sz w:val="18"/>
              </w:rPr>
            </w:pPr>
            <w:r w:rsidRPr="00C05756">
              <w:rPr>
                <w:b/>
                <w:bCs/>
                <w:sz w:val="18"/>
              </w:rPr>
              <w:t>Annual rent</w:t>
            </w:r>
          </w:p>
        </w:tc>
        <w:tc>
          <w:tcPr>
            <w:tcW w:w="1201" w:type="dxa"/>
            <w:tcBorders>
              <w:top w:val="single" w:sz="4" w:space="0" w:color="auto"/>
              <w:left w:val="nil"/>
              <w:bottom w:val="nil"/>
              <w:right w:val="single" w:sz="4" w:space="0" w:color="auto"/>
            </w:tcBorders>
            <w:shd w:val="clear" w:color="000000" w:fill="FFFFFF"/>
            <w:vAlign w:val="center"/>
            <w:hideMark/>
          </w:tcPr>
          <w:p w14:paraId="20A32ADD" w14:textId="77777777" w:rsidR="008129C3" w:rsidRPr="00C05756" w:rsidRDefault="008129C3" w:rsidP="00021F51">
            <w:pPr>
              <w:spacing w:line="276" w:lineRule="auto"/>
              <w:jc w:val="center"/>
              <w:rPr>
                <w:b/>
                <w:bCs/>
                <w:sz w:val="18"/>
              </w:rPr>
            </w:pPr>
            <w:r w:rsidRPr="00C05756">
              <w:rPr>
                <w:b/>
                <w:bCs/>
                <w:sz w:val="18"/>
              </w:rPr>
              <w:t>Income required</w:t>
            </w:r>
          </w:p>
        </w:tc>
        <w:tc>
          <w:tcPr>
            <w:tcW w:w="1297" w:type="dxa"/>
            <w:tcBorders>
              <w:top w:val="single" w:sz="4" w:space="0" w:color="auto"/>
              <w:left w:val="nil"/>
              <w:bottom w:val="nil"/>
              <w:right w:val="single" w:sz="4" w:space="0" w:color="auto"/>
            </w:tcBorders>
            <w:shd w:val="clear" w:color="000000" w:fill="FFFFFF"/>
            <w:vAlign w:val="center"/>
            <w:hideMark/>
          </w:tcPr>
          <w:p w14:paraId="2EB02226" w14:textId="77777777" w:rsidR="008129C3" w:rsidRPr="00C05756" w:rsidRDefault="008129C3" w:rsidP="00021F51">
            <w:pPr>
              <w:spacing w:line="276" w:lineRule="auto"/>
              <w:jc w:val="center"/>
              <w:rPr>
                <w:b/>
                <w:bCs/>
                <w:sz w:val="18"/>
              </w:rPr>
            </w:pPr>
            <w:r w:rsidRPr="00C05756">
              <w:rPr>
                <w:b/>
                <w:bCs/>
                <w:sz w:val="18"/>
              </w:rPr>
              <w:t>Affordable on average incomes?</w:t>
            </w:r>
          </w:p>
        </w:tc>
        <w:tc>
          <w:tcPr>
            <w:tcW w:w="1298" w:type="dxa"/>
            <w:tcBorders>
              <w:top w:val="single" w:sz="4" w:space="0" w:color="auto"/>
              <w:left w:val="nil"/>
              <w:bottom w:val="nil"/>
              <w:right w:val="single" w:sz="4" w:space="0" w:color="auto"/>
            </w:tcBorders>
            <w:shd w:val="clear" w:color="000000" w:fill="FFFFFF"/>
            <w:vAlign w:val="center"/>
            <w:hideMark/>
          </w:tcPr>
          <w:p w14:paraId="361AD8AF" w14:textId="77777777" w:rsidR="008129C3" w:rsidRPr="00C05756" w:rsidRDefault="008129C3" w:rsidP="00021F51">
            <w:pPr>
              <w:spacing w:line="276" w:lineRule="auto"/>
              <w:jc w:val="center"/>
              <w:rPr>
                <w:b/>
                <w:bCs/>
                <w:sz w:val="18"/>
              </w:rPr>
            </w:pPr>
            <w:r w:rsidRPr="00C05756">
              <w:rPr>
                <w:b/>
                <w:bCs/>
                <w:sz w:val="18"/>
              </w:rPr>
              <w:t>Affordable on LQ earnings (single earner)?</w:t>
            </w:r>
          </w:p>
        </w:tc>
        <w:tc>
          <w:tcPr>
            <w:tcW w:w="1298" w:type="dxa"/>
            <w:tcBorders>
              <w:top w:val="single" w:sz="4" w:space="0" w:color="auto"/>
              <w:left w:val="nil"/>
              <w:bottom w:val="nil"/>
              <w:right w:val="single" w:sz="4" w:space="0" w:color="auto"/>
            </w:tcBorders>
            <w:shd w:val="clear" w:color="000000" w:fill="FFFFFF"/>
            <w:vAlign w:val="center"/>
            <w:hideMark/>
          </w:tcPr>
          <w:p w14:paraId="3EF772FD" w14:textId="77777777" w:rsidR="008129C3" w:rsidRPr="00C05756" w:rsidRDefault="008129C3" w:rsidP="00021F51">
            <w:pPr>
              <w:spacing w:line="276" w:lineRule="auto"/>
              <w:jc w:val="center"/>
              <w:rPr>
                <w:b/>
                <w:bCs/>
                <w:sz w:val="18"/>
              </w:rPr>
            </w:pPr>
            <w:r w:rsidRPr="00C05756">
              <w:rPr>
                <w:b/>
                <w:bCs/>
                <w:sz w:val="18"/>
              </w:rPr>
              <w:t>Affordable on LQ earnings (2 earners)?</w:t>
            </w:r>
          </w:p>
        </w:tc>
      </w:tr>
      <w:tr w:rsidR="008129C3" w:rsidRPr="00FA11CB" w14:paraId="53325E57" w14:textId="77777777" w:rsidTr="00021F51">
        <w:trPr>
          <w:trHeight w:val="300"/>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30896CBF" w14:textId="77777777" w:rsidR="008129C3" w:rsidRPr="00C05756" w:rsidRDefault="008129C3" w:rsidP="00252C91">
            <w:pPr>
              <w:spacing w:line="276" w:lineRule="auto"/>
              <w:jc w:val="both"/>
              <w:rPr>
                <w:b/>
                <w:bCs/>
                <w:sz w:val="18"/>
              </w:rPr>
            </w:pPr>
            <w:r w:rsidRPr="00C05756">
              <w:rPr>
                <w:b/>
                <w:bCs/>
                <w:sz w:val="18"/>
              </w:rPr>
              <w:t> </w:t>
            </w:r>
          </w:p>
        </w:tc>
        <w:tc>
          <w:tcPr>
            <w:tcW w:w="1163" w:type="dxa"/>
            <w:tcBorders>
              <w:top w:val="nil"/>
              <w:left w:val="nil"/>
              <w:bottom w:val="single" w:sz="4" w:space="0" w:color="auto"/>
              <w:right w:val="single" w:sz="4" w:space="0" w:color="auto"/>
            </w:tcBorders>
            <w:shd w:val="clear" w:color="000000" w:fill="FFFFFF"/>
            <w:vAlign w:val="center"/>
            <w:hideMark/>
          </w:tcPr>
          <w:p w14:paraId="231DA292" w14:textId="5BDE99CB" w:rsidR="008129C3" w:rsidRPr="00C05756" w:rsidRDefault="008129C3" w:rsidP="00021F51">
            <w:pPr>
              <w:spacing w:line="276" w:lineRule="auto"/>
              <w:jc w:val="center"/>
              <w:rPr>
                <w:b/>
                <w:bCs/>
                <w:sz w:val="18"/>
              </w:rPr>
            </w:pPr>
          </w:p>
        </w:tc>
        <w:tc>
          <w:tcPr>
            <w:tcW w:w="1020" w:type="dxa"/>
            <w:tcBorders>
              <w:top w:val="nil"/>
              <w:left w:val="nil"/>
              <w:bottom w:val="single" w:sz="4" w:space="0" w:color="auto"/>
              <w:right w:val="single" w:sz="4" w:space="0" w:color="auto"/>
            </w:tcBorders>
            <w:shd w:val="clear" w:color="000000" w:fill="FFFFFF"/>
            <w:vAlign w:val="center"/>
            <w:hideMark/>
          </w:tcPr>
          <w:p w14:paraId="42F283F2" w14:textId="05BEFA95" w:rsidR="008129C3" w:rsidRPr="00C05756" w:rsidRDefault="008129C3" w:rsidP="00021F51">
            <w:pPr>
              <w:spacing w:line="276" w:lineRule="auto"/>
              <w:jc w:val="center"/>
              <w:rPr>
                <w:b/>
                <w:bCs/>
                <w:sz w:val="18"/>
              </w:rPr>
            </w:pPr>
          </w:p>
        </w:tc>
        <w:tc>
          <w:tcPr>
            <w:tcW w:w="1201" w:type="dxa"/>
            <w:tcBorders>
              <w:top w:val="nil"/>
              <w:left w:val="nil"/>
              <w:bottom w:val="single" w:sz="4" w:space="0" w:color="auto"/>
              <w:right w:val="single" w:sz="4" w:space="0" w:color="auto"/>
            </w:tcBorders>
            <w:shd w:val="clear" w:color="000000" w:fill="FFFFFF"/>
            <w:vAlign w:val="center"/>
            <w:hideMark/>
          </w:tcPr>
          <w:p w14:paraId="6CBCAAA3" w14:textId="0A9FE6F2" w:rsidR="008129C3" w:rsidRPr="00C05756" w:rsidRDefault="008129C3" w:rsidP="00021F51">
            <w:pPr>
              <w:spacing w:line="276" w:lineRule="auto"/>
              <w:jc w:val="center"/>
              <w:rPr>
                <w:b/>
                <w:bCs/>
                <w:sz w:val="18"/>
              </w:rPr>
            </w:pPr>
          </w:p>
        </w:tc>
        <w:tc>
          <w:tcPr>
            <w:tcW w:w="1297" w:type="dxa"/>
            <w:tcBorders>
              <w:top w:val="nil"/>
              <w:left w:val="nil"/>
              <w:bottom w:val="single" w:sz="4" w:space="0" w:color="auto"/>
              <w:right w:val="single" w:sz="4" w:space="0" w:color="auto"/>
            </w:tcBorders>
            <w:shd w:val="clear" w:color="000000" w:fill="FFFFFF"/>
            <w:vAlign w:val="center"/>
            <w:hideMark/>
          </w:tcPr>
          <w:p w14:paraId="1CEB133F" w14:textId="69C24C28" w:rsidR="008129C3" w:rsidRPr="00C05756" w:rsidRDefault="005B38A9" w:rsidP="00021F51">
            <w:pPr>
              <w:spacing w:line="276" w:lineRule="auto"/>
              <w:jc w:val="center"/>
              <w:rPr>
                <w:b/>
                <w:bCs/>
                <w:sz w:val="18"/>
              </w:rPr>
            </w:pPr>
            <w:r>
              <w:rPr>
                <w:b/>
                <w:bCs/>
                <w:sz w:val="18"/>
              </w:rPr>
              <w:t>£39,000</w:t>
            </w:r>
          </w:p>
        </w:tc>
        <w:tc>
          <w:tcPr>
            <w:tcW w:w="1298" w:type="dxa"/>
            <w:tcBorders>
              <w:top w:val="nil"/>
              <w:left w:val="nil"/>
              <w:bottom w:val="single" w:sz="4" w:space="0" w:color="auto"/>
              <w:right w:val="single" w:sz="4" w:space="0" w:color="auto"/>
            </w:tcBorders>
            <w:shd w:val="clear" w:color="000000" w:fill="FFFFFF"/>
            <w:vAlign w:val="center"/>
            <w:hideMark/>
          </w:tcPr>
          <w:p w14:paraId="014E1E40" w14:textId="1FC93DE2" w:rsidR="008129C3" w:rsidRPr="00C05756" w:rsidRDefault="005B38A9" w:rsidP="00021F51">
            <w:pPr>
              <w:spacing w:line="276" w:lineRule="auto"/>
              <w:jc w:val="center"/>
              <w:rPr>
                <w:b/>
                <w:bCs/>
                <w:sz w:val="18"/>
              </w:rPr>
            </w:pPr>
            <w:r>
              <w:rPr>
                <w:b/>
                <w:bCs/>
                <w:sz w:val="18"/>
              </w:rPr>
              <w:t>£17,800</w:t>
            </w:r>
          </w:p>
        </w:tc>
        <w:tc>
          <w:tcPr>
            <w:tcW w:w="1298" w:type="dxa"/>
            <w:tcBorders>
              <w:top w:val="nil"/>
              <w:left w:val="nil"/>
              <w:bottom w:val="single" w:sz="4" w:space="0" w:color="auto"/>
              <w:right w:val="single" w:sz="4" w:space="0" w:color="auto"/>
            </w:tcBorders>
            <w:shd w:val="clear" w:color="000000" w:fill="FFFFFF"/>
            <w:vAlign w:val="center"/>
            <w:hideMark/>
          </w:tcPr>
          <w:p w14:paraId="2CEB1FDE" w14:textId="79CEF718" w:rsidR="008129C3" w:rsidRPr="00C05756" w:rsidRDefault="005B38A9" w:rsidP="00021F51">
            <w:pPr>
              <w:spacing w:line="276" w:lineRule="auto"/>
              <w:jc w:val="center"/>
              <w:rPr>
                <w:b/>
                <w:bCs/>
                <w:sz w:val="18"/>
              </w:rPr>
            </w:pPr>
            <w:r>
              <w:rPr>
                <w:b/>
                <w:bCs/>
                <w:sz w:val="18"/>
              </w:rPr>
              <w:t>£35,600</w:t>
            </w:r>
          </w:p>
        </w:tc>
      </w:tr>
      <w:tr w:rsidR="008129C3" w:rsidRPr="00FA11CB" w14:paraId="562F7F84" w14:textId="77777777" w:rsidTr="00021F51">
        <w:trPr>
          <w:trHeight w:val="300"/>
        </w:trPr>
        <w:tc>
          <w:tcPr>
            <w:tcW w:w="2547" w:type="dxa"/>
            <w:tcBorders>
              <w:top w:val="nil"/>
              <w:left w:val="single" w:sz="4" w:space="0" w:color="auto"/>
              <w:bottom w:val="single" w:sz="4" w:space="0" w:color="auto"/>
              <w:right w:val="nil"/>
            </w:tcBorders>
            <w:shd w:val="clear" w:color="000000" w:fill="F2F2F2"/>
            <w:vAlign w:val="center"/>
            <w:hideMark/>
          </w:tcPr>
          <w:p w14:paraId="4E5A1B04" w14:textId="77777777" w:rsidR="008129C3" w:rsidRPr="00C05756" w:rsidRDefault="008129C3" w:rsidP="00252C91">
            <w:pPr>
              <w:spacing w:line="276" w:lineRule="auto"/>
              <w:jc w:val="both"/>
              <w:rPr>
                <w:b/>
                <w:bCs/>
                <w:sz w:val="18"/>
              </w:rPr>
            </w:pPr>
            <w:r w:rsidRPr="00C05756">
              <w:rPr>
                <w:b/>
                <w:bCs/>
                <w:sz w:val="18"/>
              </w:rPr>
              <w:t>Market Housing</w:t>
            </w:r>
          </w:p>
        </w:tc>
        <w:tc>
          <w:tcPr>
            <w:tcW w:w="1163" w:type="dxa"/>
            <w:tcBorders>
              <w:top w:val="nil"/>
              <w:left w:val="nil"/>
              <w:bottom w:val="single" w:sz="4" w:space="0" w:color="auto"/>
              <w:right w:val="nil"/>
            </w:tcBorders>
            <w:shd w:val="clear" w:color="000000" w:fill="F2F2F2"/>
            <w:vAlign w:val="center"/>
            <w:hideMark/>
          </w:tcPr>
          <w:p w14:paraId="71CB3DB8" w14:textId="77777777" w:rsidR="008129C3" w:rsidRPr="00C05756" w:rsidRDefault="008129C3" w:rsidP="00252C91">
            <w:pPr>
              <w:spacing w:line="276" w:lineRule="auto"/>
              <w:jc w:val="both"/>
              <w:rPr>
                <w:b/>
                <w:bCs/>
                <w:sz w:val="18"/>
              </w:rPr>
            </w:pPr>
            <w:r w:rsidRPr="00C05756">
              <w:rPr>
                <w:b/>
                <w:bCs/>
                <w:sz w:val="18"/>
              </w:rPr>
              <w:t> </w:t>
            </w:r>
          </w:p>
        </w:tc>
        <w:tc>
          <w:tcPr>
            <w:tcW w:w="1020" w:type="dxa"/>
            <w:tcBorders>
              <w:top w:val="nil"/>
              <w:left w:val="nil"/>
              <w:bottom w:val="single" w:sz="4" w:space="0" w:color="auto"/>
              <w:right w:val="nil"/>
            </w:tcBorders>
            <w:shd w:val="clear" w:color="000000" w:fill="F2F2F2"/>
            <w:vAlign w:val="center"/>
            <w:hideMark/>
          </w:tcPr>
          <w:p w14:paraId="1D0BB0CF" w14:textId="77777777" w:rsidR="008129C3" w:rsidRPr="00C05756" w:rsidRDefault="008129C3" w:rsidP="00252C91">
            <w:pPr>
              <w:spacing w:line="276" w:lineRule="auto"/>
              <w:jc w:val="both"/>
              <w:rPr>
                <w:b/>
                <w:bCs/>
                <w:sz w:val="18"/>
              </w:rPr>
            </w:pPr>
            <w:r w:rsidRPr="00C05756">
              <w:rPr>
                <w:b/>
                <w:bCs/>
                <w:sz w:val="18"/>
              </w:rPr>
              <w:t> </w:t>
            </w:r>
          </w:p>
        </w:tc>
        <w:tc>
          <w:tcPr>
            <w:tcW w:w="1201" w:type="dxa"/>
            <w:tcBorders>
              <w:top w:val="nil"/>
              <w:left w:val="nil"/>
              <w:bottom w:val="single" w:sz="4" w:space="0" w:color="auto"/>
              <w:right w:val="nil"/>
            </w:tcBorders>
            <w:shd w:val="clear" w:color="000000" w:fill="F2F2F2"/>
            <w:vAlign w:val="center"/>
            <w:hideMark/>
          </w:tcPr>
          <w:p w14:paraId="648ABD81" w14:textId="77777777" w:rsidR="008129C3" w:rsidRPr="00C05756" w:rsidRDefault="008129C3" w:rsidP="00252C91">
            <w:pPr>
              <w:spacing w:line="276" w:lineRule="auto"/>
              <w:jc w:val="both"/>
              <w:rPr>
                <w:b/>
                <w:bCs/>
                <w:sz w:val="18"/>
              </w:rPr>
            </w:pPr>
            <w:r w:rsidRPr="00C05756">
              <w:rPr>
                <w:b/>
                <w:bCs/>
                <w:sz w:val="18"/>
              </w:rPr>
              <w:t> </w:t>
            </w:r>
          </w:p>
        </w:tc>
        <w:tc>
          <w:tcPr>
            <w:tcW w:w="1297" w:type="dxa"/>
            <w:tcBorders>
              <w:top w:val="nil"/>
              <w:left w:val="nil"/>
              <w:bottom w:val="single" w:sz="4" w:space="0" w:color="auto"/>
              <w:right w:val="nil"/>
            </w:tcBorders>
            <w:shd w:val="clear" w:color="000000" w:fill="F2F2F2"/>
            <w:vAlign w:val="center"/>
            <w:hideMark/>
          </w:tcPr>
          <w:p w14:paraId="3994E291" w14:textId="77777777" w:rsidR="008129C3" w:rsidRPr="00C05756" w:rsidRDefault="008129C3" w:rsidP="00252C91">
            <w:pPr>
              <w:spacing w:line="276" w:lineRule="auto"/>
              <w:jc w:val="both"/>
              <w:rPr>
                <w:b/>
                <w:bCs/>
                <w:sz w:val="18"/>
              </w:rPr>
            </w:pPr>
            <w:r w:rsidRPr="00C05756">
              <w:rPr>
                <w:b/>
                <w:bCs/>
                <w:sz w:val="18"/>
              </w:rPr>
              <w:t> </w:t>
            </w:r>
          </w:p>
        </w:tc>
        <w:tc>
          <w:tcPr>
            <w:tcW w:w="1298" w:type="dxa"/>
            <w:tcBorders>
              <w:top w:val="nil"/>
              <w:left w:val="nil"/>
              <w:bottom w:val="single" w:sz="4" w:space="0" w:color="auto"/>
              <w:right w:val="nil"/>
            </w:tcBorders>
            <w:shd w:val="clear" w:color="000000" w:fill="F2F2F2"/>
            <w:vAlign w:val="center"/>
            <w:hideMark/>
          </w:tcPr>
          <w:p w14:paraId="1FC4B350" w14:textId="77777777" w:rsidR="008129C3" w:rsidRPr="00C05756" w:rsidRDefault="008129C3" w:rsidP="00252C91">
            <w:pPr>
              <w:spacing w:line="276" w:lineRule="auto"/>
              <w:jc w:val="both"/>
              <w:rPr>
                <w:b/>
                <w:bCs/>
                <w:sz w:val="18"/>
              </w:rPr>
            </w:pPr>
            <w:r w:rsidRPr="00C05756">
              <w:rPr>
                <w:b/>
                <w:bCs/>
                <w:sz w:val="18"/>
              </w:rPr>
              <w:t> </w:t>
            </w:r>
          </w:p>
        </w:tc>
        <w:tc>
          <w:tcPr>
            <w:tcW w:w="1298" w:type="dxa"/>
            <w:tcBorders>
              <w:top w:val="nil"/>
              <w:left w:val="nil"/>
              <w:bottom w:val="single" w:sz="4" w:space="0" w:color="auto"/>
              <w:right w:val="single" w:sz="4" w:space="0" w:color="auto"/>
            </w:tcBorders>
            <w:shd w:val="clear" w:color="000000" w:fill="F2F2F2"/>
            <w:vAlign w:val="center"/>
            <w:hideMark/>
          </w:tcPr>
          <w:p w14:paraId="581FC759" w14:textId="77777777" w:rsidR="008129C3" w:rsidRPr="00C05756" w:rsidRDefault="008129C3" w:rsidP="00252C91">
            <w:pPr>
              <w:spacing w:line="276" w:lineRule="auto"/>
              <w:jc w:val="both"/>
              <w:rPr>
                <w:b/>
                <w:bCs/>
                <w:sz w:val="18"/>
              </w:rPr>
            </w:pPr>
            <w:r w:rsidRPr="00C05756">
              <w:rPr>
                <w:b/>
                <w:bCs/>
                <w:sz w:val="18"/>
              </w:rPr>
              <w:t> </w:t>
            </w:r>
          </w:p>
        </w:tc>
      </w:tr>
      <w:tr w:rsidR="00763172" w:rsidRPr="00FA11CB" w14:paraId="2C2B4EAF" w14:textId="77777777" w:rsidTr="005B38A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73BD127" w14:textId="77777777" w:rsidR="00763172" w:rsidRPr="00C05756" w:rsidRDefault="00763172" w:rsidP="00763172">
            <w:pPr>
              <w:spacing w:line="276" w:lineRule="auto"/>
              <w:jc w:val="both"/>
              <w:rPr>
                <w:sz w:val="18"/>
              </w:rPr>
            </w:pPr>
            <w:r w:rsidRPr="00C05756">
              <w:rPr>
                <w:sz w:val="18"/>
              </w:rPr>
              <w:t>Median House Price</w:t>
            </w: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center"/>
          </w:tcPr>
          <w:p w14:paraId="4CD3BC14" w14:textId="7D5DF7F3" w:rsidR="00763172" w:rsidRPr="009C4443" w:rsidRDefault="00763172" w:rsidP="00763172">
            <w:pPr>
              <w:spacing w:line="276" w:lineRule="auto"/>
              <w:jc w:val="center"/>
              <w:rPr>
                <w:sz w:val="20"/>
                <w:szCs w:val="20"/>
              </w:rPr>
            </w:pPr>
            <w:r w:rsidRPr="009C4443">
              <w:rPr>
                <w:rFonts w:ascii="Arial" w:hAnsi="Arial" w:cs="Arial"/>
                <w:color w:val="000000"/>
                <w:sz w:val="20"/>
                <w:szCs w:val="20"/>
              </w:rPr>
              <w:t>£115,200</w:t>
            </w:r>
          </w:p>
        </w:tc>
        <w:tc>
          <w:tcPr>
            <w:tcW w:w="1020" w:type="dxa"/>
            <w:tcBorders>
              <w:top w:val="single" w:sz="4" w:space="0" w:color="auto"/>
              <w:left w:val="nil"/>
              <w:bottom w:val="single" w:sz="4" w:space="0" w:color="auto"/>
              <w:right w:val="single" w:sz="4" w:space="0" w:color="auto"/>
            </w:tcBorders>
            <w:shd w:val="clear" w:color="000000" w:fill="FFFFFF"/>
            <w:vAlign w:val="center"/>
          </w:tcPr>
          <w:p w14:paraId="71E32F4B" w14:textId="18FE2B2D" w:rsidR="00763172" w:rsidRPr="009C4443" w:rsidRDefault="00763172" w:rsidP="00763172">
            <w:pPr>
              <w:spacing w:line="276" w:lineRule="auto"/>
              <w:jc w:val="center"/>
              <w:rPr>
                <w:sz w:val="20"/>
                <w:szCs w:val="20"/>
              </w:rPr>
            </w:pPr>
            <w:r w:rsidRPr="009C4443">
              <w:rPr>
                <w:rFonts w:ascii="Arial" w:hAnsi="Arial" w:cs="Arial"/>
                <w:color w:val="000000"/>
                <w:sz w:val="20"/>
                <w:szCs w:val="20"/>
              </w:rPr>
              <w:t>-</w:t>
            </w:r>
          </w:p>
        </w:tc>
        <w:tc>
          <w:tcPr>
            <w:tcW w:w="1201" w:type="dxa"/>
            <w:tcBorders>
              <w:top w:val="single" w:sz="4" w:space="0" w:color="auto"/>
              <w:left w:val="nil"/>
              <w:bottom w:val="single" w:sz="4" w:space="0" w:color="auto"/>
              <w:right w:val="single" w:sz="4" w:space="0" w:color="auto"/>
            </w:tcBorders>
            <w:shd w:val="clear" w:color="000000" w:fill="FFFFFF"/>
            <w:vAlign w:val="center"/>
          </w:tcPr>
          <w:p w14:paraId="339A3CE5" w14:textId="69CB2799" w:rsidR="00763172" w:rsidRPr="009C4443" w:rsidRDefault="00763172" w:rsidP="00763172">
            <w:pPr>
              <w:spacing w:line="276" w:lineRule="auto"/>
              <w:jc w:val="center"/>
              <w:rPr>
                <w:b/>
                <w:bCs/>
                <w:sz w:val="20"/>
                <w:szCs w:val="20"/>
              </w:rPr>
            </w:pPr>
            <w:r w:rsidRPr="009C4443">
              <w:rPr>
                <w:rFonts w:ascii="Arial" w:hAnsi="Arial" w:cs="Arial"/>
                <w:b/>
                <w:bCs/>
                <w:color w:val="000000"/>
                <w:sz w:val="20"/>
                <w:szCs w:val="20"/>
              </w:rPr>
              <w:t>£32,914</w:t>
            </w:r>
          </w:p>
        </w:tc>
        <w:tc>
          <w:tcPr>
            <w:tcW w:w="1297"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3F1EDF5A" w14:textId="31BB1903" w:rsidR="00763172" w:rsidRPr="009C4443" w:rsidRDefault="00763172" w:rsidP="00763172">
            <w:pPr>
              <w:spacing w:line="276" w:lineRule="auto"/>
              <w:jc w:val="center"/>
              <w:rPr>
                <w:sz w:val="20"/>
                <w:szCs w:val="20"/>
              </w:rPr>
            </w:pPr>
            <w:r w:rsidRPr="009C4443">
              <w:rPr>
                <w:rFonts w:ascii="Arial" w:hAnsi="Arial" w:cs="Arial"/>
                <w:color w:val="000000"/>
                <w:sz w:val="20"/>
                <w:szCs w:val="20"/>
              </w:rPr>
              <w:t>Yes</w:t>
            </w:r>
          </w:p>
        </w:tc>
        <w:tc>
          <w:tcPr>
            <w:tcW w:w="1298" w:type="dxa"/>
            <w:tcBorders>
              <w:top w:val="single" w:sz="4" w:space="0" w:color="auto"/>
              <w:left w:val="single" w:sz="4" w:space="0" w:color="auto"/>
              <w:bottom w:val="single" w:sz="4" w:space="0" w:color="auto"/>
              <w:right w:val="single" w:sz="4" w:space="0" w:color="auto"/>
            </w:tcBorders>
            <w:shd w:val="clear" w:color="auto" w:fill="F7A69E" w:themeFill="accent4" w:themeFillTint="66"/>
            <w:vAlign w:val="center"/>
          </w:tcPr>
          <w:p w14:paraId="1E6B6873" w14:textId="71BB484D" w:rsidR="00763172" w:rsidRPr="009C4443" w:rsidRDefault="00763172" w:rsidP="00763172">
            <w:pPr>
              <w:spacing w:line="276" w:lineRule="auto"/>
              <w:jc w:val="center"/>
              <w:rPr>
                <w:sz w:val="20"/>
                <w:szCs w:val="20"/>
              </w:rPr>
            </w:pPr>
            <w:r w:rsidRPr="009C4443">
              <w:rPr>
                <w:rFonts w:ascii="Arial" w:hAnsi="Arial" w:cs="Arial"/>
                <w:color w:val="000000"/>
                <w:sz w:val="20"/>
                <w:szCs w:val="20"/>
              </w:rPr>
              <w:t>No</w:t>
            </w:r>
          </w:p>
        </w:tc>
        <w:tc>
          <w:tcPr>
            <w:tcW w:w="1298"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1992B4B5" w14:textId="5DC1B022" w:rsidR="00763172" w:rsidRPr="009C4443" w:rsidRDefault="00763172" w:rsidP="00763172">
            <w:pPr>
              <w:spacing w:line="276" w:lineRule="auto"/>
              <w:jc w:val="center"/>
              <w:rPr>
                <w:sz w:val="20"/>
                <w:szCs w:val="20"/>
              </w:rPr>
            </w:pPr>
            <w:r w:rsidRPr="009C4443">
              <w:rPr>
                <w:rFonts w:ascii="Arial" w:hAnsi="Arial" w:cs="Arial"/>
                <w:color w:val="000000"/>
                <w:sz w:val="20"/>
                <w:szCs w:val="20"/>
              </w:rPr>
              <w:t>Yes</w:t>
            </w:r>
          </w:p>
        </w:tc>
      </w:tr>
      <w:tr w:rsidR="00763172" w:rsidRPr="00FA11CB" w14:paraId="4DEA3F40" w14:textId="77777777" w:rsidTr="005B38A9">
        <w:trPr>
          <w:trHeight w:val="300"/>
        </w:trPr>
        <w:tc>
          <w:tcPr>
            <w:tcW w:w="2547" w:type="dxa"/>
            <w:tcBorders>
              <w:top w:val="nil"/>
              <w:left w:val="single" w:sz="4" w:space="0" w:color="auto"/>
              <w:bottom w:val="single" w:sz="4" w:space="0" w:color="auto"/>
              <w:right w:val="single" w:sz="4" w:space="0" w:color="auto"/>
            </w:tcBorders>
            <w:shd w:val="clear" w:color="000000" w:fill="FFFFFF"/>
            <w:noWrap/>
            <w:vAlign w:val="center"/>
            <w:hideMark/>
          </w:tcPr>
          <w:p w14:paraId="14765BA1" w14:textId="17079E24" w:rsidR="00763172" w:rsidRPr="00C05756" w:rsidRDefault="00763172" w:rsidP="00763172">
            <w:pPr>
              <w:spacing w:line="276" w:lineRule="auto"/>
              <w:jc w:val="both"/>
              <w:rPr>
                <w:sz w:val="18"/>
              </w:rPr>
            </w:pPr>
            <w:r>
              <w:rPr>
                <w:sz w:val="18"/>
              </w:rPr>
              <w:t>Estimated NA New Build Entry-Level House Price</w:t>
            </w:r>
          </w:p>
        </w:tc>
        <w:tc>
          <w:tcPr>
            <w:tcW w:w="1163" w:type="dxa"/>
            <w:tcBorders>
              <w:top w:val="nil"/>
              <w:left w:val="nil"/>
              <w:bottom w:val="nil"/>
              <w:right w:val="nil"/>
            </w:tcBorders>
            <w:shd w:val="clear" w:color="000000" w:fill="FFFFFF"/>
            <w:noWrap/>
            <w:vAlign w:val="center"/>
          </w:tcPr>
          <w:p w14:paraId="1BA5F0FA" w14:textId="6A8EEFE6" w:rsidR="00763172" w:rsidRPr="009C4443" w:rsidRDefault="00763172" w:rsidP="00763172">
            <w:pPr>
              <w:spacing w:line="276" w:lineRule="auto"/>
              <w:jc w:val="center"/>
              <w:rPr>
                <w:sz w:val="20"/>
                <w:szCs w:val="20"/>
              </w:rPr>
            </w:pPr>
            <w:r w:rsidRPr="009C4443">
              <w:rPr>
                <w:rFonts w:ascii="Arial" w:hAnsi="Arial" w:cs="Arial"/>
                <w:color w:val="000000"/>
                <w:sz w:val="20"/>
                <w:szCs w:val="20"/>
              </w:rPr>
              <w:t>£166,424</w:t>
            </w:r>
          </w:p>
        </w:tc>
        <w:tc>
          <w:tcPr>
            <w:tcW w:w="1020" w:type="dxa"/>
            <w:tcBorders>
              <w:top w:val="nil"/>
              <w:left w:val="single" w:sz="4" w:space="0" w:color="auto"/>
              <w:bottom w:val="single" w:sz="4" w:space="0" w:color="auto"/>
              <w:right w:val="single" w:sz="4" w:space="0" w:color="auto"/>
            </w:tcBorders>
            <w:shd w:val="clear" w:color="000000" w:fill="FFFFFF"/>
            <w:noWrap/>
            <w:vAlign w:val="center"/>
          </w:tcPr>
          <w:p w14:paraId="481A7738" w14:textId="08964BCF" w:rsidR="00763172" w:rsidRPr="009C4443" w:rsidRDefault="00763172" w:rsidP="00763172">
            <w:pPr>
              <w:spacing w:line="276" w:lineRule="auto"/>
              <w:jc w:val="center"/>
              <w:rPr>
                <w:sz w:val="20"/>
                <w:szCs w:val="20"/>
              </w:rPr>
            </w:pPr>
            <w:r w:rsidRPr="009C4443">
              <w:rPr>
                <w:rFonts w:ascii="Arial" w:hAnsi="Arial" w:cs="Arial"/>
                <w:color w:val="000000"/>
                <w:sz w:val="20"/>
                <w:szCs w:val="20"/>
              </w:rPr>
              <w:t> </w:t>
            </w:r>
          </w:p>
        </w:tc>
        <w:tc>
          <w:tcPr>
            <w:tcW w:w="1201" w:type="dxa"/>
            <w:tcBorders>
              <w:top w:val="nil"/>
              <w:left w:val="nil"/>
              <w:bottom w:val="single" w:sz="4" w:space="0" w:color="auto"/>
              <w:right w:val="single" w:sz="4" w:space="0" w:color="auto"/>
            </w:tcBorders>
            <w:shd w:val="clear" w:color="000000" w:fill="FFFFFF"/>
            <w:noWrap/>
            <w:vAlign w:val="center"/>
          </w:tcPr>
          <w:p w14:paraId="3A5C755D" w14:textId="08E70457" w:rsidR="00763172" w:rsidRPr="009C4443" w:rsidRDefault="00763172" w:rsidP="00763172">
            <w:pPr>
              <w:spacing w:line="276" w:lineRule="auto"/>
              <w:jc w:val="center"/>
              <w:rPr>
                <w:b/>
                <w:bCs/>
                <w:sz w:val="20"/>
                <w:szCs w:val="20"/>
              </w:rPr>
            </w:pPr>
            <w:r w:rsidRPr="009C4443">
              <w:rPr>
                <w:rFonts w:ascii="Arial" w:hAnsi="Arial" w:cs="Arial"/>
                <w:b/>
                <w:bCs/>
                <w:color w:val="000000"/>
                <w:sz w:val="20"/>
                <w:szCs w:val="20"/>
              </w:rPr>
              <w:t>£47,550</w:t>
            </w:r>
          </w:p>
        </w:tc>
        <w:tc>
          <w:tcPr>
            <w:tcW w:w="1297" w:type="dxa"/>
            <w:tcBorders>
              <w:top w:val="single" w:sz="4" w:space="0" w:color="auto"/>
              <w:left w:val="single" w:sz="4" w:space="0" w:color="auto"/>
              <w:bottom w:val="single" w:sz="4" w:space="0" w:color="auto"/>
              <w:right w:val="single" w:sz="4" w:space="0" w:color="auto"/>
            </w:tcBorders>
            <w:shd w:val="clear" w:color="auto" w:fill="F7A69E" w:themeFill="accent4" w:themeFillTint="66"/>
            <w:vAlign w:val="center"/>
          </w:tcPr>
          <w:p w14:paraId="080F3858" w14:textId="219E43AA" w:rsidR="00763172" w:rsidRPr="009C4443" w:rsidRDefault="00763172" w:rsidP="00763172">
            <w:pPr>
              <w:spacing w:line="276" w:lineRule="auto"/>
              <w:jc w:val="center"/>
              <w:rPr>
                <w:sz w:val="20"/>
                <w:szCs w:val="20"/>
              </w:rPr>
            </w:pPr>
            <w:r w:rsidRPr="009C4443">
              <w:rPr>
                <w:rFonts w:ascii="Arial" w:hAnsi="Arial" w:cs="Arial"/>
                <w:color w:val="000000"/>
                <w:sz w:val="20"/>
                <w:szCs w:val="20"/>
              </w:rPr>
              <w:t>No</w:t>
            </w:r>
          </w:p>
        </w:tc>
        <w:tc>
          <w:tcPr>
            <w:tcW w:w="1298" w:type="dxa"/>
            <w:tcBorders>
              <w:top w:val="single" w:sz="4" w:space="0" w:color="auto"/>
              <w:left w:val="single" w:sz="4" w:space="0" w:color="auto"/>
              <w:bottom w:val="single" w:sz="4" w:space="0" w:color="auto"/>
              <w:right w:val="single" w:sz="4" w:space="0" w:color="auto"/>
            </w:tcBorders>
            <w:shd w:val="clear" w:color="auto" w:fill="F7A69E" w:themeFill="accent4" w:themeFillTint="66"/>
            <w:vAlign w:val="center"/>
          </w:tcPr>
          <w:p w14:paraId="4AF14D5A" w14:textId="4F96A43A" w:rsidR="00763172" w:rsidRPr="009C4443" w:rsidRDefault="00763172" w:rsidP="00763172">
            <w:pPr>
              <w:spacing w:line="276" w:lineRule="auto"/>
              <w:jc w:val="center"/>
              <w:rPr>
                <w:sz w:val="20"/>
                <w:szCs w:val="20"/>
              </w:rPr>
            </w:pPr>
            <w:r w:rsidRPr="009C4443">
              <w:rPr>
                <w:rFonts w:ascii="Arial" w:hAnsi="Arial" w:cs="Arial"/>
                <w:color w:val="000000"/>
                <w:sz w:val="20"/>
                <w:szCs w:val="20"/>
              </w:rPr>
              <w:t>No</w:t>
            </w:r>
          </w:p>
        </w:tc>
        <w:tc>
          <w:tcPr>
            <w:tcW w:w="1298" w:type="dxa"/>
            <w:tcBorders>
              <w:top w:val="single" w:sz="4" w:space="0" w:color="auto"/>
              <w:left w:val="single" w:sz="4" w:space="0" w:color="auto"/>
              <w:bottom w:val="single" w:sz="4" w:space="0" w:color="auto"/>
              <w:right w:val="single" w:sz="4" w:space="0" w:color="auto"/>
            </w:tcBorders>
            <w:shd w:val="clear" w:color="auto" w:fill="F7A69E" w:themeFill="accent4" w:themeFillTint="66"/>
            <w:vAlign w:val="center"/>
          </w:tcPr>
          <w:p w14:paraId="2631572E" w14:textId="61272C3F" w:rsidR="00763172" w:rsidRPr="009C4443" w:rsidRDefault="00763172" w:rsidP="00763172">
            <w:pPr>
              <w:spacing w:line="276" w:lineRule="auto"/>
              <w:jc w:val="center"/>
              <w:rPr>
                <w:sz w:val="20"/>
                <w:szCs w:val="20"/>
              </w:rPr>
            </w:pPr>
            <w:r w:rsidRPr="009C4443">
              <w:rPr>
                <w:rFonts w:ascii="Arial" w:hAnsi="Arial" w:cs="Arial"/>
                <w:color w:val="000000"/>
                <w:sz w:val="20"/>
                <w:szCs w:val="20"/>
              </w:rPr>
              <w:t>No</w:t>
            </w:r>
          </w:p>
        </w:tc>
      </w:tr>
      <w:tr w:rsidR="00763172" w:rsidRPr="00FA11CB" w14:paraId="77A7BACD" w14:textId="77777777" w:rsidTr="005B38A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E89554A" w14:textId="77777777" w:rsidR="00763172" w:rsidRPr="00C05756" w:rsidRDefault="00763172" w:rsidP="00763172">
            <w:pPr>
              <w:spacing w:line="276" w:lineRule="auto"/>
              <w:jc w:val="both"/>
              <w:rPr>
                <w:sz w:val="18"/>
              </w:rPr>
            </w:pPr>
            <w:r w:rsidRPr="00C05756">
              <w:rPr>
                <w:sz w:val="18"/>
              </w:rPr>
              <w:t>LQ/Entry-level House Price</w:t>
            </w: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center"/>
          </w:tcPr>
          <w:p w14:paraId="6599C5F5" w14:textId="36D94B4C" w:rsidR="00763172" w:rsidRPr="009C4443" w:rsidRDefault="00763172" w:rsidP="00763172">
            <w:pPr>
              <w:spacing w:line="276" w:lineRule="auto"/>
              <w:jc w:val="center"/>
              <w:rPr>
                <w:sz w:val="20"/>
                <w:szCs w:val="20"/>
              </w:rPr>
            </w:pPr>
            <w:r w:rsidRPr="009C4443">
              <w:rPr>
                <w:rFonts w:ascii="Arial" w:hAnsi="Arial" w:cs="Arial"/>
                <w:color w:val="000000"/>
                <w:sz w:val="20"/>
                <w:szCs w:val="20"/>
              </w:rPr>
              <w:t>£75,600</w:t>
            </w:r>
          </w:p>
        </w:tc>
        <w:tc>
          <w:tcPr>
            <w:tcW w:w="1020" w:type="dxa"/>
            <w:tcBorders>
              <w:top w:val="nil"/>
              <w:left w:val="nil"/>
              <w:bottom w:val="single" w:sz="4" w:space="0" w:color="auto"/>
              <w:right w:val="single" w:sz="4" w:space="0" w:color="auto"/>
            </w:tcBorders>
            <w:shd w:val="clear" w:color="000000" w:fill="FFFFFF"/>
            <w:vAlign w:val="center"/>
          </w:tcPr>
          <w:p w14:paraId="574C2C2F" w14:textId="492A775A" w:rsidR="00763172" w:rsidRPr="009C4443" w:rsidRDefault="00763172" w:rsidP="00763172">
            <w:pPr>
              <w:spacing w:line="276" w:lineRule="auto"/>
              <w:jc w:val="center"/>
              <w:rPr>
                <w:sz w:val="20"/>
                <w:szCs w:val="20"/>
              </w:rPr>
            </w:pPr>
            <w:r w:rsidRPr="009C4443">
              <w:rPr>
                <w:rFonts w:ascii="Arial" w:hAnsi="Arial" w:cs="Arial"/>
                <w:color w:val="000000"/>
                <w:sz w:val="20"/>
                <w:szCs w:val="20"/>
              </w:rPr>
              <w:t>-</w:t>
            </w:r>
          </w:p>
        </w:tc>
        <w:tc>
          <w:tcPr>
            <w:tcW w:w="1201" w:type="dxa"/>
            <w:tcBorders>
              <w:top w:val="nil"/>
              <w:left w:val="nil"/>
              <w:bottom w:val="single" w:sz="4" w:space="0" w:color="auto"/>
              <w:right w:val="single" w:sz="4" w:space="0" w:color="auto"/>
            </w:tcBorders>
            <w:shd w:val="clear" w:color="000000" w:fill="FFFFFF"/>
            <w:vAlign w:val="center"/>
          </w:tcPr>
          <w:p w14:paraId="2047DB4C" w14:textId="7D31A23D" w:rsidR="00763172" w:rsidRPr="009C4443" w:rsidRDefault="00763172" w:rsidP="00763172">
            <w:pPr>
              <w:spacing w:line="276" w:lineRule="auto"/>
              <w:jc w:val="center"/>
              <w:rPr>
                <w:b/>
                <w:bCs/>
                <w:sz w:val="20"/>
                <w:szCs w:val="20"/>
              </w:rPr>
            </w:pPr>
            <w:r w:rsidRPr="009C4443">
              <w:rPr>
                <w:rFonts w:ascii="Arial" w:hAnsi="Arial" w:cs="Arial"/>
                <w:b/>
                <w:bCs/>
                <w:color w:val="000000"/>
                <w:sz w:val="20"/>
                <w:szCs w:val="20"/>
              </w:rPr>
              <w:t>£21,600</w:t>
            </w:r>
          </w:p>
        </w:tc>
        <w:tc>
          <w:tcPr>
            <w:tcW w:w="1297"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7FB4AC60" w14:textId="742A0999" w:rsidR="00763172" w:rsidRPr="009C4443" w:rsidRDefault="00763172" w:rsidP="00763172">
            <w:pPr>
              <w:spacing w:line="276" w:lineRule="auto"/>
              <w:jc w:val="center"/>
              <w:rPr>
                <w:sz w:val="20"/>
                <w:szCs w:val="20"/>
              </w:rPr>
            </w:pPr>
            <w:r w:rsidRPr="009C4443">
              <w:rPr>
                <w:rFonts w:ascii="Arial" w:hAnsi="Arial" w:cs="Arial"/>
                <w:color w:val="000000"/>
                <w:sz w:val="20"/>
                <w:szCs w:val="20"/>
              </w:rPr>
              <w:t>Yes</w:t>
            </w:r>
          </w:p>
        </w:tc>
        <w:tc>
          <w:tcPr>
            <w:tcW w:w="1298" w:type="dxa"/>
            <w:tcBorders>
              <w:top w:val="single" w:sz="4" w:space="0" w:color="auto"/>
              <w:left w:val="single" w:sz="4" w:space="0" w:color="auto"/>
              <w:bottom w:val="single" w:sz="4" w:space="0" w:color="auto"/>
              <w:right w:val="single" w:sz="4" w:space="0" w:color="auto"/>
            </w:tcBorders>
            <w:shd w:val="clear" w:color="auto" w:fill="F7A69E" w:themeFill="accent4" w:themeFillTint="66"/>
            <w:vAlign w:val="center"/>
          </w:tcPr>
          <w:p w14:paraId="5145E0CD" w14:textId="0BBF3423" w:rsidR="00763172" w:rsidRPr="009C4443" w:rsidRDefault="00763172" w:rsidP="00763172">
            <w:pPr>
              <w:spacing w:line="276" w:lineRule="auto"/>
              <w:jc w:val="center"/>
              <w:rPr>
                <w:sz w:val="20"/>
                <w:szCs w:val="20"/>
              </w:rPr>
            </w:pPr>
            <w:r w:rsidRPr="009C4443">
              <w:rPr>
                <w:rFonts w:ascii="Arial" w:hAnsi="Arial" w:cs="Arial"/>
                <w:color w:val="000000"/>
                <w:sz w:val="20"/>
                <w:szCs w:val="20"/>
              </w:rPr>
              <w:t>No</w:t>
            </w:r>
          </w:p>
        </w:tc>
        <w:tc>
          <w:tcPr>
            <w:tcW w:w="1298"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00CDF11E" w14:textId="413FD870" w:rsidR="00763172" w:rsidRPr="009C4443" w:rsidRDefault="00763172" w:rsidP="00763172">
            <w:pPr>
              <w:spacing w:line="276" w:lineRule="auto"/>
              <w:jc w:val="center"/>
              <w:rPr>
                <w:sz w:val="20"/>
                <w:szCs w:val="20"/>
              </w:rPr>
            </w:pPr>
            <w:r w:rsidRPr="009C4443">
              <w:rPr>
                <w:rFonts w:ascii="Arial" w:hAnsi="Arial" w:cs="Arial"/>
                <w:color w:val="000000"/>
                <w:sz w:val="20"/>
                <w:szCs w:val="20"/>
              </w:rPr>
              <w:t>Yes</w:t>
            </w:r>
          </w:p>
        </w:tc>
      </w:tr>
      <w:tr w:rsidR="00763172" w:rsidRPr="00FA11CB" w14:paraId="672B5F15" w14:textId="77777777" w:rsidTr="005B38A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tcPr>
          <w:p w14:paraId="20C91797" w14:textId="128A787E" w:rsidR="00763172" w:rsidRPr="00C05756" w:rsidRDefault="00763172" w:rsidP="00763172">
            <w:pPr>
              <w:spacing w:line="276" w:lineRule="auto"/>
              <w:jc w:val="both"/>
              <w:rPr>
                <w:sz w:val="18"/>
              </w:rPr>
            </w:pPr>
            <w:r>
              <w:rPr>
                <w:sz w:val="18"/>
              </w:rPr>
              <w:t>LA New Build Median House Price</w:t>
            </w:r>
          </w:p>
        </w:tc>
        <w:tc>
          <w:tcPr>
            <w:tcW w:w="1163" w:type="dxa"/>
            <w:tcBorders>
              <w:top w:val="nil"/>
              <w:left w:val="single" w:sz="4" w:space="0" w:color="auto"/>
              <w:bottom w:val="single" w:sz="4" w:space="0" w:color="auto"/>
              <w:right w:val="single" w:sz="4" w:space="0" w:color="auto"/>
            </w:tcBorders>
            <w:shd w:val="clear" w:color="000000" w:fill="FFFFFF"/>
            <w:vAlign w:val="center"/>
          </w:tcPr>
          <w:p w14:paraId="5D9AD219" w14:textId="495F2398" w:rsidR="00763172" w:rsidRPr="009C4443" w:rsidRDefault="00763172" w:rsidP="00763172">
            <w:pPr>
              <w:spacing w:line="276" w:lineRule="auto"/>
              <w:jc w:val="center"/>
              <w:rPr>
                <w:sz w:val="20"/>
                <w:szCs w:val="20"/>
              </w:rPr>
            </w:pPr>
            <w:r w:rsidRPr="009C4443">
              <w:rPr>
                <w:rFonts w:ascii="Arial" w:hAnsi="Arial" w:cs="Arial"/>
                <w:color w:val="000000"/>
                <w:sz w:val="20"/>
                <w:szCs w:val="20"/>
              </w:rPr>
              <w:t>£192,371</w:t>
            </w:r>
          </w:p>
        </w:tc>
        <w:tc>
          <w:tcPr>
            <w:tcW w:w="1020" w:type="dxa"/>
            <w:tcBorders>
              <w:top w:val="nil"/>
              <w:left w:val="nil"/>
              <w:bottom w:val="single" w:sz="4" w:space="0" w:color="auto"/>
              <w:right w:val="single" w:sz="4" w:space="0" w:color="auto"/>
            </w:tcBorders>
            <w:shd w:val="clear" w:color="000000" w:fill="FFFFFF"/>
            <w:vAlign w:val="center"/>
          </w:tcPr>
          <w:p w14:paraId="177AE58C" w14:textId="61E54F11" w:rsidR="00763172" w:rsidRPr="009C4443" w:rsidRDefault="00763172" w:rsidP="00763172">
            <w:pPr>
              <w:spacing w:line="276" w:lineRule="auto"/>
              <w:jc w:val="center"/>
              <w:rPr>
                <w:sz w:val="20"/>
                <w:szCs w:val="20"/>
              </w:rPr>
            </w:pPr>
            <w:r w:rsidRPr="009C4443">
              <w:rPr>
                <w:rFonts w:ascii="Arial" w:hAnsi="Arial" w:cs="Arial"/>
                <w:color w:val="000000"/>
                <w:sz w:val="20"/>
                <w:szCs w:val="20"/>
              </w:rPr>
              <w:t>-</w:t>
            </w:r>
          </w:p>
        </w:tc>
        <w:tc>
          <w:tcPr>
            <w:tcW w:w="1201" w:type="dxa"/>
            <w:tcBorders>
              <w:top w:val="nil"/>
              <w:left w:val="nil"/>
              <w:bottom w:val="single" w:sz="4" w:space="0" w:color="auto"/>
              <w:right w:val="single" w:sz="4" w:space="0" w:color="auto"/>
            </w:tcBorders>
            <w:shd w:val="clear" w:color="000000" w:fill="FFFFFF"/>
            <w:vAlign w:val="center"/>
          </w:tcPr>
          <w:p w14:paraId="60C4E4E1" w14:textId="351718A4" w:rsidR="00763172" w:rsidRPr="009C4443" w:rsidRDefault="00763172" w:rsidP="00763172">
            <w:pPr>
              <w:spacing w:line="276" w:lineRule="auto"/>
              <w:jc w:val="center"/>
              <w:rPr>
                <w:b/>
                <w:bCs/>
                <w:sz w:val="20"/>
                <w:szCs w:val="20"/>
              </w:rPr>
            </w:pPr>
            <w:r w:rsidRPr="009C4443">
              <w:rPr>
                <w:rFonts w:ascii="Arial" w:hAnsi="Arial" w:cs="Arial"/>
                <w:b/>
                <w:bCs/>
                <w:color w:val="000000"/>
                <w:sz w:val="20"/>
                <w:szCs w:val="20"/>
              </w:rPr>
              <w:t>£54,963</w:t>
            </w:r>
          </w:p>
        </w:tc>
        <w:tc>
          <w:tcPr>
            <w:tcW w:w="1297" w:type="dxa"/>
            <w:tcBorders>
              <w:top w:val="single" w:sz="4" w:space="0" w:color="auto"/>
              <w:left w:val="single" w:sz="4" w:space="0" w:color="auto"/>
              <w:bottom w:val="single" w:sz="4" w:space="0" w:color="auto"/>
              <w:right w:val="single" w:sz="4" w:space="0" w:color="auto"/>
            </w:tcBorders>
            <w:shd w:val="clear" w:color="auto" w:fill="F7A69E" w:themeFill="accent4" w:themeFillTint="66"/>
            <w:vAlign w:val="center"/>
          </w:tcPr>
          <w:p w14:paraId="7C8D6E57" w14:textId="521920C5" w:rsidR="00763172" w:rsidRPr="009C4443" w:rsidRDefault="00763172" w:rsidP="00763172">
            <w:pPr>
              <w:spacing w:line="276" w:lineRule="auto"/>
              <w:jc w:val="center"/>
              <w:rPr>
                <w:sz w:val="20"/>
                <w:szCs w:val="20"/>
              </w:rPr>
            </w:pPr>
            <w:r w:rsidRPr="009C4443">
              <w:rPr>
                <w:rFonts w:ascii="Arial" w:hAnsi="Arial" w:cs="Arial"/>
                <w:color w:val="000000"/>
                <w:sz w:val="20"/>
                <w:szCs w:val="20"/>
              </w:rPr>
              <w:t>No</w:t>
            </w:r>
          </w:p>
        </w:tc>
        <w:tc>
          <w:tcPr>
            <w:tcW w:w="1298" w:type="dxa"/>
            <w:tcBorders>
              <w:top w:val="single" w:sz="4" w:space="0" w:color="auto"/>
              <w:left w:val="single" w:sz="4" w:space="0" w:color="auto"/>
              <w:bottom w:val="single" w:sz="4" w:space="0" w:color="auto"/>
              <w:right w:val="single" w:sz="4" w:space="0" w:color="auto"/>
            </w:tcBorders>
            <w:shd w:val="clear" w:color="auto" w:fill="F7A69E" w:themeFill="accent4" w:themeFillTint="66"/>
            <w:vAlign w:val="center"/>
          </w:tcPr>
          <w:p w14:paraId="58CF014E" w14:textId="290B1390" w:rsidR="00763172" w:rsidRPr="009C4443" w:rsidRDefault="00763172" w:rsidP="00763172">
            <w:pPr>
              <w:spacing w:line="276" w:lineRule="auto"/>
              <w:jc w:val="center"/>
              <w:rPr>
                <w:sz w:val="20"/>
                <w:szCs w:val="20"/>
              </w:rPr>
            </w:pPr>
            <w:r w:rsidRPr="009C4443">
              <w:rPr>
                <w:rFonts w:ascii="Arial" w:hAnsi="Arial" w:cs="Arial"/>
                <w:color w:val="000000"/>
                <w:sz w:val="20"/>
                <w:szCs w:val="20"/>
              </w:rPr>
              <w:t>No</w:t>
            </w:r>
          </w:p>
        </w:tc>
        <w:tc>
          <w:tcPr>
            <w:tcW w:w="1298" w:type="dxa"/>
            <w:tcBorders>
              <w:top w:val="single" w:sz="4" w:space="0" w:color="auto"/>
              <w:left w:val="single" w:sz="4" w:space="0" w:color="auto"/>
              <w:bottom w:val="single" w:sz="4" w:space="0" w:color="auto"/>
              <w:right w:val="single" w:sz="4" w:space="0" w:color="auto"/>
            </w:tcBorders>
            <w:shd w:val="clear" w:color="auto" w:fill="F7A69E" w:themeFill="accent4" w:themeFillTint="66"/>
            <w:vAlign w:val="center"/>
          </w:tcPr>
          <w:p w14:paraId="1871F75D" w14:textId="28FA47AB" w:rsidR="00763172" w:rsidRPr="009C4443" w:rsidRDefault="00763172" w:rsidP="00763172">
            <w:pPr>
              <w:spacing w:line="276" w:lineRule="auto"/>
              <w:jc w:val="center"/>
              <w:rPr>
                <w:sz w:val="20"/>
                <w:szCs w:val="20"/>
              </w:rPr>
            </w:pPr>
            <w:r w:rsidRPr="009C4443">
              <w:rPr>
                <w:rFonts w:ascii="Arial" w:hAnsi="Arial" w:cs="Arial"/>
                <w:color w:val="000000"/>
                <w:sz w:val="20"/>
                <w:szCs w:val="20"/>
              </w:rPr>
              <w:t>No</w:t>
            </w:r>
          </w:p>
        </w:tc>
      </w:tr>
      <w:tr w:rsidR="00763172" w:rsidRPr="00FA11CB" w14:paraId="54BE0719" w14:textId="77777777" w:rsidTr="005B38A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8B63F6F" w14:textId="77777777" w:rsidR="00763172" w:rsidRPr="00C05756" w:rsidRDefault="00763172" w:rsidP="00763172">
            <w:pPr>
              <w:spacing w:line="276" w:lineRule="auto"/>
              <w:jc w:val="both"/>
              <w:rPr>
                <w:sz w:val="18"/>
              </w:rPr>
            </w:pPr>
            <w:r w:rsidRPr="00C05756">
              <w:rPr>
                <w:sz w:val="18"/>
              </w:rPr>
              <w:t>Average Market Rent</w:t>
            </w:r>
          </w:p>
        </w:tc>
        <w:tc>
          <w:tcPr>
            <w:tcW w:w="1163" w:type="dxa"/>
            <w:tcBorders>
              <w:top w:val="nil"/>
              <w:left w:val="single" w:sz="4" w:space="0" w:color="auto"/>
              <w:bottom w:val="single" w:sz="4" w:space="0" w:color="auto"/>
              <w:right w:val="single" w:sz="4" w:space="0" w:color="auto"/>
            </w:tcBorders>
            <w:shd w:val="clear" w:color="000000" w:fill="FFFFFF"/>
            <w:vAlign w:val="center"/>
          </w:tcPr>
          <w:p w14:paraId="02AC7F89" w14:textId="249C221F" w:rsidR="00763172" w:rsidRPr="009C4443" w:rsidRDefault="00763172" w:rsidP="00763172">
            <w:pPr>
              <w:spacing w:line="276" w:lineRule="auto"/>
              <w:jc w:val="center"/>
              <w:rPr>
                <w:sz w:val="20"/>
                <w:szCs w:val="20"/>
              </w:rPr>
            </w:pPr>
            <w:r w:rsidRPr="009C4443">
              <w:rPr>
                <w:rFonts w:ascii="Arial" w:hAnsi="Arial" w:cs="Arial"/>
                <w:color w:val="000000"/>
                <w:sz w:val="20"/>
                <w:szCs w:val="20"/>
              </w:rPr>
              <w:t>-</w:t>
            </w:r>
          </w:p>
        </w:tc>
        <w:tc>
          <w:tcPr>
            <w:tcW w:w="1020" w:type="dxa"/>
            <w:tcBorders>
              <w:top w:val="nil"/>
              <w:left w:val="nil"/>
              <w:bottom w:val="single" w:sz="4" w:space="0" w:color="auto"/>
              <w:right w:val="single" w:sz="4" w:space="0" w:color="auto"/>
            </w:tcBorders>
            <w:shd w:val="clear" w:color="000000" w:fill="FFFFFF"/>
            <w:vAlign w:val="center"/>
          </w:tcPr>
          <w:p w14:paraId="2EA56823" w14:textId="14D5BF2E" w:rsidR="00763172" w:rsidRPr="009C4443" w:rsidRDefault="00763172" w:rsidP="00763172">
            <w:pPr>
              <w:spacing w:line="276" w:lineRule="auto"/>
              <w:jc w:val="center"/>
              <w:rPr>
                <w:sz w:val="20"/>
                <w:szCs w:val="20"/>
              </w:rPr>
            </w:pPr>
            <w:r w:rsidRPr="009C4443">
              <w:rPr>
                <w:rFonts w:ascii="Arial" w:hAnsi="Arial" w:cs="Arial"/>
                <w:color w:val="000000"/>
                <w:sz w:val="20"/>
                <w:szCs w:val="20"/>
              </w:rPr>
              <w:t>£10,920</w:t>
            </w:r>
          </w:p>
        </w:tc>
        <w:tc>
          <w:tcPr>
            <w:tcW w:w="1201" w:type="dxa"/>
            <w:tcBorders>
              <w:top w:val="nil"/>
              <w:left w:val="nil"/>
              <w:bottom w:val="single" w:sz="4" w:space="0" w:color="auto"/>
              <w:right w:val="single" w:sz="4" w:space="0" w:color="auto"/>
            </w:tcBorders>
            <w:shd w:val="clear" w:color="000000" w:fill="FFFFFF"/>
            <w:vAlign w:val="center"/>
          </w:tcPr>
          <w:p w14:paraId="1A98D77E" w14:textId="6713F8DD" w:rsidR="00763172" w:rsidRPr="009C4443" w:rsidRDefault="00763172" w:rsidP="00763172">
            <w:pPr>
              <w:spacing w:line="276" w:lineRule="auto"/>
              <w:jc w:val="center"/>
              <w:rPr>
                <w:b/>
                <w:bCs/>
                <w:sz w:val="20"/>
                <w:szCs w:val="20"/>
              </w:rPr>
            </w:pPr>
            <w:r w:rsidRPr="009C4443">
              <w:rPr>
                <w:rFonts w:ascii="Arial" w:hAnsi="Arial" w:cs="Arial"/>
                <w:b/>
                <w:bCs/>
                <w:color w:val="000000"/>
                <w:sz w:val="20"/>
                <w:szCs w:val="20"/>
              </w:rPr>
              <w:t>£36,400</w:t>
            </w:r>
          </w:p>
        </w:tc>
        <w:tc>
          <w:tcPr>
            <w:tcW w:w="1297"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748FBFE8" w14:textId="043F161F" w:rsidR="00763172" w:rsidRPr="009C4443" w:rsidRDefault="00763172" w:rsidP="00763172">
            <w:pPr>
              <w:spacing w:line="276" w:lineRule="auto"/>
              <w:jc w:val="center"/>
              <w:rPr>
                <w:sz w:val="20"/>
                <w:szCs w:val="20"/>
              </w:rPr>
            </w:pPr>
            <w:r w:rsidRPr="009C4443">
              <w:rPr>
                <w:rFonts w:ascii="Arial" w:hAnsi="Arial" w:cs="Arial"/>
                <w:color w:val="000000"/>
                <w:sz w:val="20"/>
                <w:szCs w:val="20"/>
              </w:rPr>
              <w:t>Yes</w:t>
            </w:r>
          </w:p>
        </w:tc>
        <w:tc>
          <w:tcPr>
            <w:tcW w:w="1298" w:type="dxa"/>
            <w:tcBorders>
              <w:top w:val="single" w:sz="4" w:space="0" w:color="auto"/>
              <w:left w:val="single" w:sz="4" w:space="0" w:color="auto"/>
              <w:bottom w:val="single" w:sz="4" w:space="0" w:color="auto"/>
              <w:right w:val="single" w:sz="4" w:space="0" w:color="auto"/>
            </w:tcBorders>
            <w:shd w:val="clear" w:color="auto" w:fill="F7A69E" w:themeFill="accent4" w:themeFillTint="66"/>
            <w:vAlign w:val="center"/>
          </w:tcPr>
          <w:p w14:paraId="49C21DE4" w14:textId="034062F4" w:rsidR="00763172" w:rsidRPr="009C4443" w:rsidRDefault="00763172" w:rsidP="00763172">
            <w:pPr>
              <w:spacing w:line="276" w:lineRule="auto"/>
              <w:jc w:val="center"/>
              <w:rPr>
                <w:sz w:val="20"/>
                <w:szCs w:val="20"/>
              </w:rPr>
            </w:pPr>
            <w:r w:rsidRPr="009C4443">
              <w:rPr>
                <w:rFonts w:ascii="Arial" w:hAnsi="Arial" w:cs="Arial"/>
                <w:color w:val="000000"/>
                <w:sz w:val="20"/>
                <w:szCs w:val="20"/>
              </w:rPr>
              <w:t>No</w:t>
            </w:r>
          </w:p>
        </w:tc>
        <w:tc>
          <w:tcPr>
            <w:tcW w:w="1298" w:type="dxa"/>
            <w:tcBorders>
              <w:top w:val="single" w:sz="4" w:space="0" w:color="auto"/>
              <w:left w:val="single" w:sz="4" w:space="0" w:color="auto"/>
              <w:bottom w:val="single" w:sz="4" w:space="0" w:color="auto"/>
              <w:right w:val="single" w:sz="4" w:space="0" w:color="auto"/>
            </w:tcBorders>
            <w:shd w:val="clear" w:color="auto" w:fill="F7A69E" w:themeFill="accent4" w:themeFillTint="66"/>
            <w:vAlign w:val="center"/>
          </w:tcPr>
          <w:p w14:paraId="3701A259" w14:textId="5820ED40" w:rsidR="00763172" w:rsidRPr="009C4443" w:rsidRDefault="00763172" w:rsidP="00763172">
            <w:pPr>
              <w:spacing w:line="276" w:lineRule="auto"/>
              <w:jc w:val="center"/>
              <w:rPr>
                <w:sz w:val="20"/>
                <w:szCs w:val="20"/>
              </w:rPr>
            </w:pPr>
            <w:r w:rsidRPr="009C4443">
              <w:rPr>
                <w:rFonts w:ascii="Arial" w:hAnsi="Arial" w:cs="Arial"/>
                <w:color w:val="000000"/>
                <w:sz w:val="20"/>
                <w:szCs w:val="20"/>
              </w:rPr>
              <w:t>No</w:t>
            </w:r>
          </w:p>
        </w:tc>
      </w:tr>
      <w:tr w:rsidR="00763172" w:rsidRPr="00FA11CB" w14:paraId="0F3053C2" w14:textId="77777777" w:rsidTr="005B38A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92330F6" w14:textId="77777777" w:rsidR="00763172" w:rsidRPr="00C05756" w:rsidRDefault="00763172" w:rsidP="00763172">
            <w:pPr>
              <w:spacing w:line="276" w:lineRule="auto"/>
              <w:jc w:val="both"/>
              <w:rPr>
                <w:sz w:val="18"/>
              </w:rPr>
            </w:pPr>
            <w:r w:rsidRPr="00C05756">
              <w:rPr>
                <w:sz w:val="18"/>
              </w:rPr>
              <w:t>Entry-level Market Rent</w:t>
            </w:r>
          </w:p>
        </w:tc>
        <w:tc>
          <w:tcPr>
            <w:tcW w:w="1163" w:type="dxa"/>
            <w:tcBorders>
              <w:top w:val="nil"/>
              <w:left w:val="single" w:sz="4" w:space="0" w:color="auto"/>
              <w:bottom w:val="single" w:sz="4" w:space="0" w:color="auto"/>
              <w:right w:val="single" w:sz="4" w:space="0" w:color="auto"/>
            </w:tcBorders>
            <w:shd w:val="clear" w:color="000000" w:fill="FFFFFF"/>
            <w:vAlign w:val="center"/>
          </w:tcPr>
          <w:p w14:paraId="761A0FE7" w14:textId="023A9C74" w:rsidR="00763172" w:rsidRPr="009C4443" w:rsidRDefault="00763172" w:rsidP="00763172">
            <w:pPr>
              <w:spacing w:line="276" w:lineRule="auto"/>
              <w:jc w:val="center"/>
              <w:rPr>
                <w:sz w:val="20"/>
                <w:szCs w:val="20"/>
              </w:rPr>
            </w:pPr>
            <w:r w:rsidRPr="009C4443">
              <w:rPr>
                <w:rFonts w:ascii="Arial" w:hAnsi="Arial" w:cs="Arial"/>
                <w:color w:val="000000"/>
                <w:sz w:val="20"/>
                <w:szCs w:val="20"/>
              </w:rPr>
              <w:t>-</w:t>
            </w:r>
          </w:p>
        </w:tc>
        <w:tc>
          <w:tcPr>
            <w:tcW w:w="1020" w:type="dxa"/>
            <w:tcBorders>
              <w:top w:val="nil"/>
              <w:left w:val="nil"/>
              <w:bottom w:val="single" w:sz="4" w:space="0" w:color="auto"/>
              <w:right w:val="single" w:sz="4" w:space="0" w:color="auto"/>
            </w:tcBorders>
            <w:shd w:val="clear" w:color="000000" w:fill="FFFFFF"/>
            <w:vAlign w:val="center"/>
          </w:tcPr>
          <w:p w14:paraId="60E0F625" w14:textId="1D90BD59" w:rsidR="00763172" w:rsidRPr="009C4443" w:rsidRDefault="00763172" w:rsidP="00763172">
            <w:pPr>
              <w:spacing w:line="276" w:lineRule="auto"/>
              <w:jc w:val="center"/>
              <w:rPr>
                <w:sz w:val="20"/>
                <w:szCs w:val="20"/>
              </w:rPr>
            </w:pPr>
            <w:r w:rsidRPr="009C4443">
              <w:rPr>
                <w:rFonts w:ascii="Arial" w:hAnsi="Arial" w:cs="Arial"/>
                <w:color w:val="000000"/>
                <w:sz w:val="20"/>
                <w:szCs w:val="20"/>
              </w:rPr>
              <w:t>£7,320</w:t>
            </w:r>
          </w:p>
        </w:tc>
        <w:tc>
          <w:tcPr>
            <w:tcW w:w="1201" w:type="dxa"/>
            <w:tcBorders>
              <w:top w:val="nil"/>
              <w:left w:val="nil"/>
              <w:bottom w:val="single" w:sz="4" w:space="0" w:color="auto"/>
              <w:right w:val="single" w:sz="4" w:space="0" w:color="auto"/>
            </w:tcBorders>
            <w:shd w:val="clear" w:color="000000" w:fill="FFFFFF"/>
            <w:vAlign w:val="center"/>
          </w:tcPr>
          <w:p w14:paraId="314FD291" w14:textId="54BCC371" w:rsidR="00763172" w:rsidRPr="009C4443" w:rsidRDefault="00763172" w:rsidP="00763172">
            <w:pPr>
              <w:spacing w:line="276" w:lineRule="auto"/>
              <w:jc w:val="center"/>
              <w:rPr>
                <w:b/>
                <w:bCs/>
                <w:sz w:val="20"/>
                <w:szCs w:val="20"/>
              </w:rPr>
            </w:pPr>
            <w:r w:rsidRPr="009C4443">
              <w:rPr>
                <w:rFonts w:ascii="Arial" w:hAnsi="Arial" w:cs="Arial"/>
                <w:b/>
                <w:bCs/>
                <w:color w:val="000000"/>
                <w:sz w:val="20"/>
                <w:szCs w:val="20"/>
              </w:rPr>
              <w:t>£24,400</w:t>
            </w:r>
          </w:p>
        </w:tc>
        <w:tc>
          <w:tcPr>
            <w:tcW w:w="1297"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5E4DD872" w14:textId="68A2BB29" w:rsidR="00763172" w:rsidRPr="009C4443" w:rsidRDefault="00763172" w:rsidP="00763172">
            <w:pPr>
              <w:spacing w:line="276" w:lineRule="auto"/>
              <w:jc w:val="center"/>
              <w:rPr>
                <w:sz w:val="20"/>
                <w:szCs w:val="20"/>
              </w:rPr>
            </w:pPr>
            <w:r w:rsidRPr="009C4443">
              <w:rPr>
                <w:rFonts w:ascii="Arial" w:hAnsi="Arial" w:cs="Arial"/>
                <w:color w:val="000000"/>
                <w:sz w:val="20"/>
                <w:szCs w:val="20"/>
              </w:rPr>
              <w:t>Yes</w:t>
            </w:r>
          </w:p>
        </w:tc>
        <w:tc>
          <w:tcPr>
            <w:tcW w:w="1298" w:type="dxa"/>
            <w:tcBorders>
              <w:top w:val="single" w:sz="4" w:space="0" w:color="auto"/>
              <w:left w:val="single" w:sz="4" w:space="0" w:color="auto"/>
              <w:bottom w:val="single" w:sz="4" w:space="0" w:color="auto"/>
              <w:right w:val="single" w:sz="4" w:space="0" w:color="auto"/>
            </w:tcBorders>
            <w:shd w:val="clear" w:color="auto" w:fill="F7A69E" w:themeFill="accent4" w:themeFillTint="66"/>
            <w:vAlign w:val="center"/>
          </w:tcPr>
          <w:p w14:paraId="6B756A19" w14:textId="45F3106D" w:rsidR="00763172" w:rsidRPr="009C4443" w:rsidRDefault="00763172" w:rsidP="00763172">
            <w:pPr>
              <w:spacing w:line="276" w:lineRule="auto"/>
              <w:jc w:val="center"/>
              <w:rPr>
                <w:sz w:val="20"/>
                <w:szCs w:val="20"/>
              </w:rPr>
            </w:pPr>
            <w:r w:rsidRPr="009C4443">
              <w:rPr>
                <w:rFonts w:ascii="Arial" w:hAnsi="Arial" w:cs="Arial"/>
                <w:color w:val="000000"/>
                <w:sz w:val="20"/>
                <w:szCs w:val="20"/>
              </w:rPr>
              <w:t>No</w:t>
            </w:r>
          </w:p>
        </w:tc>
        <w:tc>
          <w:tcPr>
            <w:tcW w:w="1298"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12743560" w14:textId="17B284DD" w:rsidR="00763172" w:rsidRPr="009C4443" w:rsidRDefault="00763172" w:rsidP="00763172">
            <w:pPr>
              <w:spacing w:line="276" w:lineRule="auto"/>
              <w:jc w:val="center"/>
              <w:rPr>
                <w:sz w:val="20"/>
                <w:szCs w:val="20"/>
              </w:rPr>
            </w:pPr>
            <w:r w:rsidRPr="009C4443">
              <w:rPr>
                <w:rFonts w:ascii="Arial" w:hAnsi="Arial" w:cs="Arial"/>
                <w:color w:val="000000"/>
                <w:sz w:val="20"/>
                <w:szCs w:val="20"/>
              </w:rPr>
              <w:t>Yes</w:t>
            </w:r>
          </w:p>
        </w:tc>
      </w:tr>
      <w:tr w:rsidR="008129C3" w:rsidRPr="00FA11CB" w14:paraId="7B50DE01" w14:textId="77777777" w:rsidTr="00021F51">
        <w:trPr>
          <w:trHeight w:val="300"/>
        </w:trPr>
        <w:tc>
          <w:tcPr>
            <w:tcW w:w="2547" w:type="dxa"/>
            <w:tcBorders>
              <w:top w:val="nil"/>
              <w:left w:val="single" w:sz="4" w:space="0" w:color="auto"/>
              <w:bottom w:val="single" w:sz="4" w:space="0" w:color="auto"/>
              <w:right w:val="nil"/>
            </w:tcBorders>
            <w:shd w:val="clear" w:color="000000" w:fill="F2F2F2"/>
            <w:noWrap/>
            <w:vAlign w:val="center"/>
            <w:hideMark/>
          </w:tcPr>
          <w:p w14:paraId="4C09EF93" w14:textId="77777777" w:rsidR="008129C3" w:rsidRPr="00C05756" w:rsidRDefault="008129C3" w:rsidP="00252C91">
            <w:pPr>
              <w:spacing w:line="276" w:lineRule="auto"/>
              <w:jc w:val="both"/>
              <w:rPr>
                <w:b/>
                <w:bCs/>
                <w:sz w:val="18"/>
              </w:rPr>
            </w:pPr>
            <w:r w:rsidRPr="00C05756">
              <w:rPr>
                <w:b/>
                <w:bCs/>
                <w:sz w:val="18"/>
              </w:rPr>
              <w:t>Affordable Home Ownership</w:t>
            </w:r>
          </w:p>
        </w:tc>
        <w:tc>
          <w:tcPr>
            <w:tcW w:w="1163" w:type="dxa"/>
            <w:tcBorders>
              <w:top w:val="nil"/>
              <w:left w:val="nil"/>
              <w:bottom w:val="single" w:sz="4" w:space="0" w:color="auto"/>
              <w:right w:val="nil"/>
            </w:tcBorders>
            <w:shd w:val="clear" w:color="000000" w:fill="F2F2F2"/>
            <w:noWrap/>
            <w:vAlign w:val="center"/>
          </w:tcPr>
          <w:p w14:paraId="3438B9C9" w14:textId="77777777" w:rsidR="008129C3" w:rsidRPr="00C05756" w:rsidRDefault="008129C3" w:rsidP="00252C91">
            <w:pPr>
              <w:spacing w:line="276" w:lineRule="auto"/>
              <w:jc w:val="both"/>
              <w:rPr>
                <w:b/>
                <w:bCs/>
                <w:sz w:val="18"/>
              </w:rPr>
            </w:pPr>
          </w:p>
        </w:tc>
        <w:tc>
          <w:tcPr>
            <w:tcW w:w="1020" w:type="dxa"/>
            <w:tcBorders>
              <w:top w:val="nil"/>
              <w:left w:val="nil"/>
              <w:bottom w:val="single" w:sz="4" w:space="0" w:color="auto"/>
              <w:right w:val="nil"/>
            </w:tcBorders>
            <w:shd w:val="clear" w:color="000000" w:fill="F2F2F2"/>
            <w:noWrap/>
            <w:vAlign w:val="center"/>
          </w:tcPr>
          <w:p w14:paraId="7F3C369F" w14:textId="77777777" w:rsidR="008129C3" w:rsidRPr="00C05756" w:rsidRDefault="008129C3" w:rsidP="00252C91">
            <w:pPr>
              <w:spacing w:line="276" w:lineRule="auto"/>
              <w:jc w:val="both"/>
              <w:rPr>
                <w:b/>
                <w:bCs/>
                <w:sz w:val="18"/>
              </w:rPr>
            </w:pPr>
          </w:p>
        </w:tc>
        <w:tc>
          <w:tcPr>
            <w:tcW w:w="1201" w:type="dxa"/>
            <w:tcBorders>
              <w:top w:val="nil"/>
              <w:left w:val="nil"/>
              <w:bottom w:val="single" w:sz="4" w:space="0" w:color="auto"/>
              <w:right w:val="nil"/>
            </w:tcBorders>
            <w:shd w:val="clear" w:color="000000" w:fill="F2F2F2"/>
            <w:noWrap/>
            <w:vAlign w:val="center"/>
          </w:tcPr>
          <w:p w14:paraId="44087376" w14:textId="77777777" w:rsidR="008129C3" w:rsidRPr="00C05756" w:rsidRDefault="008129C3" w:rsidP="00252C91">
            <w:pPr>
              <w:spacing w:line="276" w:lineRule="auto"/>
              <w:jc w:val="both"/>
              <w:rPr>
                <w:b/>
                <w:bCs/>
                <w:sz w:val="18"/>
              </w:rPr>
            </w:pPr>
          </w:p>
        </w:tc>
        <w:tc>
          <w:tcPr>
            <w:tcW w:w="1297" w:type="dxa"/>
            <w:tcBorders>
              <w:top w:val="nil"/>
              <w:left w:val="nil"/>
              <w:bottom w:val="single" w:sz="4" w:space="0" w:color="auto"/>
              <w:right w:val="nil"/>
            </w:tcBorders>
            <w:shd w:val="clear" w:color="000000" w:fill="F2F2F2"/>
            <w:noWrap/>
            <w:vAlign w:val="center"/>
          </w:tcPr>
          <w:p w14:paraId="13425FE5" w14:textId="77777777" w:rsidR="008129C3" w:rsidRPr="00C05756" w:rsidRDefault="008129C3" w:rsidP="00252C91">
            <w:pPr>
              <w:spacing w:line="276" w:lineRule="auto"/>
              <w:jc w:val="both"/>
              <w:rPr>
                <w:b/>
                <w:bCs/>
                <w:sz w:val="18"/>
              </w:rPr>
            </w:pPr>
          </w:p>
        </w:tc>
        <w:tc>
          <w:tcPr>
            <w:tcW w:w="1298" w:type="dxa"/>
            <w:tcBorders>
              <w:top w:val="nil"/>
              <w:left w:val="nil"/>
              <w:bottom w:val="single" w:sz="4" w:space="0" w:color="auto"/>
              <w:right w:val="nil"/>
            </w:tcBorders>
            <w:shd w:val="clear" w:color="000000" w:fill="F2F2F2"/>
            <w:noWrap/>
            <w:vAlign w:val="center"/>
          </w:tcPr>
          <w:p w14:paraId="7465887D" w14:textId="77777777" w:rsidR="008129C3" w:rsidRPr="00C05756" w:rsidRDefault="008129C3" w:rsidP="00252C91">
            <w:pPr>
              <w:spacing w:line="276" w:lineRule="auto"/>
              <w:jc w:val="both"/>
              <w:rPr>
                <w:b/>
                <w:bCs/>
                <w:sz w:val="18"/>
              </w:rPr>
            </w:pPr>
          </w:p>
        </w:tc>
        <w:tc>
          <w:tcPr>
            <w:tcW w:w="1298" w:type="dxa"/>
            <w:tcBorders>
              <w:top w:val="nil"/>
              <w:left w:val="nil"/>
              <w:bottom w:val="single" w:sz="4" w:space="0" w:color="auto"/>
              <w:right w:val="single" w:sz="4" w:space="0" w:color="auto"/>
            </w:tcBorders>
            <w:shd w:val="clear" w:color="000000" w:fill="F2F2F2"/>
            <w:noWrap/>
            <w:vAlign w:val="center"/>
          </w:tcPr>
          <w:p w14:paraId="76321B5E" w14:textId="77777777" w:rsidR="008129C3" w:rsidRPr="00C05756" w:rsidRDefault="008129C3" w:rsidP="00252C91">
            <w:pPr>
              <w:spacing w:line="276" w:lineRule="auto"/>
              <w:jc w:val="both"/>
              <w:rPr>
                <w:b/>
                <w:bCs/>
                <w:sz w:val="18"/>
              </w:rPr>
            </w:pPr>
          </w:p>
        </w:tc>
      </w:tr>
      <w:tr w:rsidR="0096090D" w:rsidRPr="00FA11CB" w14:paraId="537A159B" w14:textId="77777777" w:rsidTr="00434C10">
        <w:trPr>
          <w:trHeight w:val="300"/>
        </w:trPr>
        <w:tc>
          <w:tcPr>
            <w:tcW w:w="2547" w:type="dxa"/>
            <w:tcBorders>
              <w:top w:val="nil"/>
              <w:left w:val="single" w:sz="4" w:space="0" w:color="auto"/>
              <w:bottom w:val="single" w:sz="4" w:space="0" w:color="auto"/>
              <w:right w:val="single" w:sz="4" w:space="0" w:color="auto"/>
            </w:tcBorders>
            <w:shd w:val="clear" w:color="auto" w:fill="auto"/>
            <w:vAlign w:val="center"/>
          </w:tcPr>
          <w:p w14:paraId="48434BC7" w14:textId="5FB8C08C" w:rsidR="0096090D" w:rsidRPr="00C05756" w:rsidRDefault="00C92D69" w:rsidP="009C4443">
            <w:pPr>
              <w:spacing w:line="276" w:lineRule="auto"/>
              <w:jc w:val="both"/>
              <w:rPr>
                <w:sz w:val="18"/>
              </w:rPr>
            </w:pPr>
            <w:r>
              <w:rPr>
                <w:sz w:val="18"/>
              </w:rPr>
              <w:t>Discount Market Sale (-20%</w:t>
            </w:r>
            <w:r w:rsidR="0075231E">
              <w:rPr>
                <w:sz w:val="18"/>
              </w:rPr>
              <w:t>)</w:t>
            </w: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center"/>
          </w:tcPr>
          <w:p w14:paraId="58BEE6C9" w14:textId="5B48AC1C" w:rsidR="0096090D" w:rsidRPr="00434C10" w:rsidRDefault="00C92D69" w:rsidP="00434C10">
            <w:pPr>
              <w:tabs>
                <w:tab w:val="clear" w:pos="284"/>
              </w:tabs>
              <w:spacing w:line="240" w:lineRule="auto"/>
              <w:jc w:val="center"/>
              <w:rPr>
                <w:rFonts w:ascii="Arial" w:hAnsi="Arial" w:cs="Arial"/>
                <w:color w:val="000000"/>
                <w:kern w:val="0"/>
                <w:sz w:val="20"/>
                <w:szCs w:val="20"/>
              </w:rPr>
            </w:pPr>
            <w:r w:rsidRPr="00434C10">
              <w:rPr>
                <w:rFonts w:ascii="Arial" w:hAnsi="Arial" w:cs="Arial"/>
                <w:color w:val="000000"/>
                <w:sz w:val="20"/>
                <w:szCs w:val="20"/>
              </w:rPr>
              <w:t>£133,139</w:t>
            </w:r>
          </w:p>
        </w:tc>
        <w:tc>
          <w:tcPr>
            <w:tcW w:w="1020" w:type="dxa"/>
            <w:tcBorders>
              <w:top w:val="single" w:sz="4" w:space="0" w:color="auto"/>
              <w:left w:val="nil"/>
              <w:bottom w:val="single" w:sz="4" w:space="0" w:color="auto"/>
              <w:right w:val="single" w:sz="4" w:space="0" w:color="auto"/>
            </w:tcBorders>
            <w:shd w:val="clear" w:color="000000" w:fill="FFFFFF"/>
            <w:vAlign w:val="center"/>
          </w:tcPr>
          <w:p w14:paraId="2EA89087" w14:textId="77777777" w:rsidR="0096090D" w:rsidRPr="00C92D69" w:rsidRDefault="0096090D" w:rsidP="009C4443">
            <w:pPr>
              <w:spacing w:line="276" w:lineRule="auto"/>
              <w:jc w:val="center"/>
              <w:rPr>
                <w:rFonts w:ascii="Arial" w:hAnsi="Arial" w:cs="Arial"/>
                <w:color w:val="000000"/>
                <w:sz w:val="20"/>
                <w:szCs w:val="20"/>
              </w:rPr>
            </w:pPr>
          </w:p>
        </w:tc>
        <w:tc>
          <w:tcPr>
            <w:tcW w:w="1201" w:type="dxa"/>
            <w:tcBorders>
              <w:top w:val="single" w:sz="4" w:space="0" w:color="auto"/>
              <w:left w:val="nil"/>
              <w:bottom w:val="single" w:sz="4" w:space="0" w:color="auto"/>
              <w:right w:val="single" w:sz="4" w:space="0" w:color="auto"/>
            </w:tcBorders>
            <w:shd w:val="clear" w:color="000000" w:fill="FFFFFF"/>
            <w:vAlign w:val="center"/>
          </w:tcPr>
          <w:p w14:paraId="13BD46EA" w14:textId="6D041E83" w:rsidR="0096090D" w:rsidRPr="00434C10" w:rsidRDefault="00C92D69" w:rsidP="00434C10">
            <w:pPr>
              <w:tabs>
                <w:tab w:val="clear" w:pos="284"/>
              </w:tabs>
              <w:spacing w:line="240" w:lineRule="auto"/>
              <w:jc w:val="center"/>
              <w:rPr>
                <w:rFonts w:ascii="Arial" w:hAnsi="Arial" w:cs="Arial"/>
                <w:color w:val="000000"/>
                <w:kern w:val="0"/>
                <w:sz w:val="20"/>
                <w:szCs w:val="20"/>
              </w:rPr>
            </w:pPr>
            <w:r w:rsidRPr="00434C10">
              <w:rPr>
                <w:rFonts w:ascii="Arial" w:hAnsi="Arial" w:cs="Arial"/>
                <w:color w:val="000000"/>
                <w:sz w:val="20"/>
                <w:szCs w:val="20"/>
              </w:rPr>
              <w:t>£38,040</w:t>
            </w:r>
          </w:p>
        </w:tc>
        <w:tc>
          <w:tcPr>
            <w:tcW w:w="1297"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5F563781" w14:textId="20FA2C63" w:rsidR="0096090D" w:rsidRPr="009C4443" w:rsidRDefault="00C92D69" w:rsidP="009C4443">
            <w:pPr>
              <w:spacing w:line="276" w:lineRule="auto"/>
              <w:jc w:val="center"/>
              <w:rPr>
                <w:rFonts w:ascii="Arial" w:hAnsi="Arial" w:cs="Arial"/>
                <w:color w:val="000000"/>
                <w:sz w:val="20"/>
                <w:szCs w:val="20"/>
              </w:rPr>
            </w:pPr>
            <w:r>
              <w:rPr>
                <w:rFonts w:ascii="Arial" w:hAnsi="Arial" w:cs="Arial"/>
                <w:color w:val="000000"/>
                <w:sz w:val="20"/>
                <w:szCs w:val="20"/>
              </w:rPr>
              <w:t>Yes</w:t>
            </w:r>
          </w:p>
        </w:tc>
        <w:tc>
          <w:tcPr>
            <w:tcW w:w="1298" w:type="dxa"/>
            <w:tcBorders>
              <w:top w:val="single" w:sz="4" w:space="0" w:color="auto"/>
              <w:left w:val="single" w:sz="4" w:space="0" w:color="auto"/>
              <w:bottom w:val="single" w:sz="4" w:space="0" w:color="auto"/>
              <w:right w:val="single" w:sz="4" w:space="0" w:color="auto"/>
            </w:tcBorders>
            <w:shd w:val="clear" w:color="auto" w:fill="F7A69E" w:themeFill="accent4" w:themeFillTint="66"/>
            <w:vAlign w:val="center"/>
          </w:tcPr>
          <w:p w14:paraId="099C280F" w14:textId="579180B6" w:rsidR="0096090D" w:rsidRPr="009C4443" w:rsidRDefault="00C92D69" w:rsidP="009C4443">
            <w:pPr>
              <w:spacing w:line="276" w:lineRule="auto"/>
              <w:jc w:val="center"/>
              <w:rPr>
                <w:rFonts w:ascii="Arial" w:hAnsi="Arial" w:cs="Arial"/>
                <w:color w:val="000000"/>
                <w:sz w:val="20"/>
                <w:szCs w:val="20"/>
              </w:rPr>
            </w:pPr>
            <w:r>
              <w:rPr>
                <w:rFonts w:ascii="Arial" w:hAnsi="Arial" w:cs="Arial"/>
                <w:color w:val="000000"/>
                <w:sz w:val="20"/>
                <w:szCs w:val="20"/>
              </w:rPr>
              <w:t>No</w:t>
            </w:r>
          </w:p>
        </w:tc>
        <w:tc>
          <w:tcPr>
            <w:tcW w:w="1298" w:type="dxa"/>
            <w:tcBorders>
              <w:top w:val="single" w:sz="4" w:space="0" w:color="auto"/>
              <w:left w:val="single" w:sz="4" w:space="0" w:color="auto"/>
              <w:bottom w:val="single" w:sz="4" w:space="0" w:color="auto"/>
              <w:right w:val="single" w:sz="4" w:space="0" w:color="auto"/>
            </w:tcBorders>
            <w:shd w:val="clear" w:color="auto" w:fill="F7A69E" w:themeFill="accent4" w:themeFillTint="66"/>
            <w:vAlign w:val="center"/>
          </w:tcPr>
          <w:p w14:paraId="46B972E8" w14:textId="09C3FD42" w:rsidR="0096090D" w:rsidRPr="009C4443" w:rsidRDefault="00C92D69" w:rsidP="009C4443">
            <w:pPr>
              <w:spacing w:line="276" w:lineRule="auto"/>
              <w:jc w:val="center"/>
              <w:rPr>
                <w:rFonts w:ascii="Arial" w:hAnsi="Arial" w:cs="Arial"/>
                <w:color w:val="000000"/>
                <w:sz w:val="20"/>
                <w:szCs w:val="20"/>
              </w:rPr>
            </w:pPr>
            <w:r>
              <w:rPr>
                <w:rFonts w:ascii="Arial" w:hAnsi="Arial" w:cs="Arial"/>
                <w:color w:val="000000"/>
                <w:sz w:val="20"/>
                <w:szCs w:val="20"/>
              </w:rPr>
              <w:t>No</w:t>
            </w:r>
          </w:p>
        </w:tc>
      </w:tr>
      <w:tr w:rsidR="009C4443" w:rsidRPr="00FA11CB" w14:paraId="525046CA" w14:textId="77777777" w:rsidTr="005B38A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861CC1D" w14:textId="77777777" w:rsidR="009C4443" w:rsidRPr="00C05756" w:rsidRDefault="009C4443" w:rsidP="009C4443">
            <w:pPr>
              <w:spacing w:line="276" w:lineRule="auto"/>
              <w:jc w:val="both"/>
              <w:rPr>
                <w:sz w:val="18"/>
              </w:rPr>
            </w:pPr>
            <w:r w:rsidRPr="00C05756">
              <w:rPr>
                <w:sz w:val="18"/>
              </w:rPr>
              <w:t>First Homes (-30%)</w:t>
            </w: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center"/>
          </w:tcPr>
          <w:p w14:paraId="0AE06934" w14:textId="6A814B75" w:rsidR="009C4443" w:rsidRPr="009C4443" w:rsidRDefault="009C4443" w:rsidP="009C4443">
            <w:pPr>
              <w:spacing w:line="276" w:lineRule="auto"/>
              <w:jc w:val="center"/>
              <w:rPr>
                <w:sz w:val="20"/>
                <w:szCs w:val="20"/>
              </w:rPr>
            </w:pPr>
            <w:r w:rsidRPr="009C4443">
              <w:rPr>
                <w:rFonts w:ascii="Arial" w:hAnsi="Arial" w:cs="Arial"/>
                <w:color w:val="000000"/>
                <w:sz w:val="20"/>
                <w:szCs w:val="20"/>
              </w:rPr>
              <w:t>£116,497</w:t>
            </w:r>
          </w:p>
        </w:tc>
        <w:tc>
          <w:tcPr>
            <w:tcW w:w="1020" w:type="dxa"/>
            <w:tcBorders>
              <w:top w:val="single" w:sz="4" w:space="0" w:color="auto"/>
              <w:left w:val="nil"/>
              <w:bottom w:val="single" w:sz="4" w:space="0" w:color="auto"/>
              <w:right w:val="single" w:sz="4" w:space="0" w:color="auto"/>
            </w:tcBorders>
            <w:shd w:val="clear" w:color="000000" w:fill="FFFFFF"/>
            <w:vAlign w:val="center"/>
          </w:tcPr>
          <w:p w14:paraId="5E309C3F" w14:textId="7D38BE56" w:rsidR="009C4443" w:rsidRPr="009C4443" w:rsidRDefault="009C4443" w:rsidP="009C4443">
            <w:pPr>
              <w:spacing w:line="276" w:lineRule="auto"/>
              <w:jc w:val="center"/>
              <w:rPr>
                <w:sz w:val="20"/>
                <w:szCs w:val="20"/>
              </w:rPr>
            </w:pPr>
            <w:r w:rsidRPr="009C4443">
              <w:rPr>
                <w:rFonts w:ascii="Arial" w:hAnsi="Arial" w:cs="Arial"/>
                <w:color w:val="000000"/>
                <w:sz w:val="20"/>
                <w:szCs w:val="20"/>
              </w:rPr>
              <w:t>-</w:t>
            </w:r>
          </w:p>
        </w:tc>
        <w:tc>
          <w:tcPr>
            <w:tcW w:w="1201" w:type="dxa"/>
            <w:tcBorders>
              <w:top w:val="single" w:sz="4" w:space="0" w:color="auto"/>
              <w:left w:val="nil"/>
              <w:bottom w:val="single" w:sz="4" w:space="0" w:color="auto"/>
              <w:right w:val="single" w:sz="4" w:space="0" w:color="auto"/>
            </w:tcBorders>
            <w:shd w:val="clear" w:color="000000" w:fill="FFFFFF"/>
            <w:vAlign w:val="center"/>
          </w:tcPr>
          <w:p w14:paraId="09E70B1C" w14:textId="04EAEC98" w:rsidR="009C4443" w:rsidRPr="009C4443" w:rsidRDefault="009C4443" w:rsidP="009C4443">
            <w:pPr>
              <w:spacing w:line="276" w:lineRule="auto"/>
              <w:jc w:val="center"/>
              <w:rPr>
                <w:b/>
                <w:bCs/>
                <w:sz w:val="20"/>
                <w:szCs w:val="20"/>
              </w:rPr>
            </w:pPr>
            <w:r w:rsidRPr="009C4443">
              <w:rPr>
                <w:rFonts w:ascii="Arial" w:hAnsi="Arial" w:cs="Arial"/>
                <w:b/>
                <w:bCs/>
                <w:color w:val="000000"/>
                <w:sz w:val="20"/>
                <w:szCs w:val="20"/>
              </w:rPr>
              <w:t>£33,285</w:t>
            </w:r>
          </w:p>
        </w:tc>
        <w:tc>
          <w:tcPr>
            <w:tcW w:w="1297"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7FA1EC10" w14:textId="438346BB" w:rsidR="009C4443" w:rsidRPr="009C4443" w:rsidRDefault="009C4443" w:rsidP="009C4443">
            <w:pPr>
              <w:spacing w:line="276" w:lineRule="auto"/>
              <w:jc w:val="center"/>
              <w:rPr>
                <w:sz w:val="20"/>
                <w:szCs w:val="20"/>
              </w:rPr>
            </w:pPr>
            <w:r w:rsidRPr="009C4443">
              <w:rPr>
                <w:rFonts w:ascii="Arial" w:hAnsi="Arial" w:cs="Arial"/>
                <w:color w:val="000000"/>
                <w:sz w:val="20"/>
                <w:szCs w:val="20"/>
              </w:rPr>
              <w:t>Yes</w:t>
            </w:r>
          </w:p>
        </w:tc>
        <w:tc>
          <w:tcPr>
            <w:tcW w:w="1298" w:type="dxa"/>
            <w:tcBorders>
              <w:top w:val="single" w:sz="4" w:space="0" w:color="auto"/>
              <w:left w:val="single" w:sz="4" w:space="0" w:color="auto"/>
              <w:bottom w:val="single" w:sz="4" w:space="0" w:color="auto"/>
              <w:right w:val="single" w:sz="4" w:space="0" w:color="auto"/>
            </w:tcBorders>
            <w:shd w:val="clear" w:color="auto" w:fill="F7A69E" w:themeFill="accent4" w:themeFillTint="66"/>
            <w:vAlign w:val="center"/>
          </w:tcPr>
          <w:p w14:paraId="01EA192D" w14:textId="1E3D40AA" w:rsidR="009C4443" w:rsidRPr="009C4443" w:rsidRDefault="009C4443" w:rsidP="009C4443">
            <w:pPr>
              <w:spacing w:line="276" w:lineRule="auto"/>
              <w:jc w:val="center"/>
              <w:rPr>
                <w:sz w:val="20"/>
                <w:szCs w:val="20"/>
              </w:rPr>
            </w:pPr>
            <w:r w:rsidRPr="009C4443">
              <w:rPr>
                <w:rFonts w:ascii="Arial" w:hAnsi="Arial" w:cs="Arial"/>
                <w:color w:val="000000"/>
                <w:sz w:val="20"/>
                <w:szCs w:val="20"/>
              </w:rPr>
              <w:t>No</w:t>
            </w:r>
          </w:p>
        </w:tc>
        <w:tc>
          <w:tcPr>
            <w:tcW w:w="1298"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0CD49477" w14:textId="2EE66D3C" w:rsidR="009C4443" w:rsidRPr="009C4443" w:rsidRDefault="009C4443" w:rsidP="009C4443">
            <w:pPr>
              <w:spacing w:line="276" w:lineRule="auto"/>
              <w:jc w:val="center"/>
              <w:rPr>
                <w:sz w:val="20"/>
                <w:szCs w:val="20"/>
              </w:rPr>
            </w:pPr>
            <w:r w:rsidRPr="009C4443">
              <w:rPr>
                <w:rFonts w:ascii="Arial" w:hAnsi="Arial" w:cs="Arial"/>
                <w:color w:val="000000"/>
                <w:sz w:val="20"/>
                <w:szCs w:val="20"/>
              </w:rPr>
              <w:t>Yes</w:t>
            </w:r>
          </w:p>
        </w:tc>
      </w:tr>
      <w:tr w:rsidR="009C4443" w:rsidRPr="00FA11CB" w14:paraId="6FCF8C38" w14:textId="77777777" w:rsidTr="005B38A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tcPr>
          <w:p w14:paraId="6CB88EA2" w14:textId="77777777" w:rsidR="009C4443" w:rsidRPr="00C05756" w:rsidRDefault="009C4443" w:rsidP="009C4443">
            <w:pPr>
              <w:spacing w:line="276" w:lineRule="auto"/>
              <w:jc w:val="both"/>
              <w:rPr>
                <w:sz w:val="18"/>
              </w:rPr>
            </w:pPr>
            <w:r w:rsidRPr="00C05756">
              <w:rPr>
                <w:sz w:val="18"/>
              </w:rPr>
              <w:t>First Homes (-40%)</w:t>
            </w:r>
          </w:p>
        </w:tc>
        <w:tc>
          <w:tcPr>
            <w:tcW w:w="1163" w:type="dxa"/>
            <w:tcBorders>
              <w:top w:val="nil"/>
              <w:left w:val="single" w:sz="4" w:space="0" w:color="auto"/>
              <w:bottom w:val="single" w:sz="4" w:space="0" w:color="auto"/>
              <w:right w:val="single" w:sz="4" w:space="0" w:color="auto"/>
            </w:tcBorders>
            <w:shd w:val="clear" w:color="000000" w:fill="FFFFFF"/>
            <w:vAlign w:val="center"/>
          </w:tcPr>
          <w:p w14:paraId="7F44D6E8" w14:textId="58F96878" w:rsidR="009C4443" w:rsidRPr="009C4443" w:rsidRDefault="009C4443" w:rsidP="009C4443">
            <w:pPr>
              <w:spacing w:line="276" w:lineRule="auto"/>
              <w:jc w:val="center"/>
              <w:rPr>
                <w:sz w:val="20"/>
                <w:szCs w:val="20"/>
              </w:rPr>
            </w:pPr>
            <w:r w:rsidRPr="009C4443">
              <w:rPr>
                <w:rFonts w:ascii="Arial" w:hAnsi="Arial" w:cs="Arial"/>
                <w:color w:val="000000"/>
                <w:sz w:val="20"/>
                <w:szCs w:val="20"/>
              </w:rPr>
              <w:t>£99,854</w:t>
            </w:r>
          </w:p>
        </w:tc>
        <w:tc>
          <w:tcPr>
            <w:tcW w:w="1020" w:type="dxa"/>
            <w:tcBorders>
              <w:top w:val="nil"/>
              <w:left w:val="nil"/>
              <w:bottom w:val="single" w:sz="4" w:space="0" w:color="auto"/>
              <w:right w:val="single" w:sz="4" w:space="0" w:color="auto"/>
            </w:tcBorders>
            <w:shd w:val="clear" w:color="000000" w:fill="FFFFFF"/>
            <w:vAlign w:val="center"/>
          </w:tcPr>
          <w:p w14:paraId="0EF57E71" w14:textId="73299CFB" w:rsidR="009C4443" w:rsidRPr="009C4443" w:rsidRDefault="009C4443" w:rsidP="009C4443">
            <w:pPr>
              <w:spacing w:line="276" w:lineRule="auto"/>
              <w:jc w:val="center"/>
              <w:rPr>
                <w:sz w:val="20"/>
                <w:szCs w:val="20"/>
              </w:rPr>
            </w:pPr>
            <w:r w:rsidRPr="009C4443">
              <w:rPr>
                <w:rFonts w:ascii="Arial" w:hAnsi="Arial" w:cs="Arial"/>
                <w:color w:val="000000"/>
                <w:sz w:val="20"/>
                <w:szCs w:val="20"/>
              </w:rPr>
              <w:t>-</w:t>
            </w:r>
          </w:p>
        </w:tc>
        <w:tc>
          <w:tcPr>
            <w:tcW w:w="1201" w:type="dxa"/>
            <w:tcBorders>
              <w:top w:val="nil"/>
              <w:left w:val="nil"/>
              <w:bottom w:val="single" w:sz="4" w:space="0" w:color="auto"/>
              <w:right w:val="single" w:sz="4" w:space="0" w:color="auto"/>
            </w:tcBorders>
            <w:shd w:val="clear" w:color="000000" w:fill="FFFFFF"/>
            <w:vAlign w:val="center"/>
          </w:tcPr>
          <w:p w14:paraId="7B0067C6" w14:textId="1E783DC6" w:rsidR="009C4443" w:rsidRPr="009C4443" w:rsidRDefault="009C4443" w:rsidP="009C4443">
            <w:pPr>
              <w:spacing w:line="276" w:lineRule="auto"/>
              <w:jc w:val="center"/>
              <w:rPr>
                <w:b/>
                <w:bCs/>
                <w:sz w:val="20"/>
                <w:szCs w:val="20"/>
              </w:rPr>
            </w:pPr>
            <w:r w:rsidRPr="009C4443">
              <w:rPr>
                <w:rFonts w:ascii="Arial" w:hAnsi="Arial" w:cs="Arial"/>
                <w:b/>
                <w:bCs/>
                <w:color w:val="000000"/>
                <w:sz w:val="20"/>
                <w:szCs w:val="20"/>
              </w:rPr>
              <w:t>£28,530</w:t>
            </w:r>
          </w:p>
        </w:tc>
        <w:tc>
          <w:tcPr>
            <w:tcW w:w="1297"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599A1602" w14:textId="05E6A0B0" w:rsidR="009C4443" w:rsidRPr="009C4443" w:rsidRDefault="009C4443" w:rsidP="009C4443">
            <w:pPr>
              <w:spacing w:line="276" w:lineRule="auto"/>
              <w:jc w:val="center"/>
              <w:rPr>
                <w:sz w:val="20"/>
                <w:szCs w:val="20"/>
              </w:rPr>
            </w:pPr>
            <w:r w:rsidRPr="009C4443">
              <w:rPr>
                <w:rFonts w:ascii="Arial" w:hAnsi="Arial" w:cs="Arial"/>
                <w:color w:val="000000"/>
                <w:sz w:val="20"/>
                <w:szCs w:val="20"/>
              </w:rPr>
              <w:t>Yes</w:t>
            </w:r>
          </w:p>
        </w:tc>
        <w:tc>
          <w:tcPr>
            <w:tcW w:w="1298" w:type="dxa"/>
            <w:tcBorders>
              <w:top w:val="single" w:sz="4" w:space="0" w:color="auto"/>
              <w:left w:val="single" w:sz="4" w:space="0" w:color="auto"/>
              <w:bottom w:val="single" w:sz="4" w:space="0" w:color="auto"/>
              <w:right w:val="single" w:sz="4" w:space="0" w:color="auto"/>
            </w:tcBorders>
            <w:shd w:val="clear" w:color="auto" w:fill="F7A69E" w:themeFill="accent4" w:themeFillTint="66"/>
            <w:vAlign w:val="center"/>
          </w:tcPr>
          <w:p w14:paraId="074B26F8" w14:textId="7BAF258C" w:rsidR="009C4443" w:rsidRPr="009C4443" w:rsidRDefault="009C4443" w:rsidP="009C4443">
            <w:pPr>
              <w:spacing w:line="276" w:lineRule="auto"/>
              <w:jc w:val="center"/>
              <w:rPr>
                <w:sz w:val="20"/>
                <w:szCs w:val="20"/>
              </w:rPr>
            </w:pPr>
            <w:r w:rsidRPr="009C4443">
              <w:rPr>
                <w:rFonts w:ascii="Arial" w:hAnsi="Arial" w:cs="Arial"/>
                <w:color w:val="000000"/>
                <w:sz w:val="20"/>
                <w:szCs w:val="20"/>
              </w:rPr>
              <w:t>No</w:t>
            </w:r>
          </w:p>
        </w:tc>
        <w:tc>
          <w:tcPr>
            <w:tcW w:w="1298"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69229C35" w14:textId="0940731C" w:rsidR="009C4443" w:rsidRPr="009C4443" w:rsidRDefault="009C4443" w:rsidP="009C4443">
            <w:pPr>
              <w:spacing w:line="276" w:lineRule="auto"/>
              <w:jc w:val="center"/>
              <w:rPr>
                <w:sz w:val="20"/>
                <w:szCs w:val="20"/>
              </w:rPr>
            </w:pPr>
            <w:r w:rsidRPr="009C4443">
              <w:rPr>
                <w:rFonts w:ascii="Arial" w:hAnsi="Arial" w:cs="Arial"/>
                <w:color w:val="000000"/>
                <w:sz w:val="20"/>
                <w:szCs w:val="20"/>
              </w:rPr>
              <w:t>Yes</w:t>
            </w:r>
          </w:p>
        </w:tc>
      </w:tr>
      <w:tr w:rsidR="009C4443" w:rsidRPr="00FA11CB" w14:paraId="71AE0D81" w14:textId="77777777" w:rsidTr="005B38A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tcPr>
          <w:p w14:paraId="084340ED" w14:textId="77777777" w:rsidR="009C4443" w:rsidRPr="00C05756" w:rsidRDefault="009C4443" w:rsidP="009C4443">
            <w:pPr>
              <w:spacing w:line="276" w:lineRule="auto"/>
              <w:jc w:val="both"/>
              <w:rPr>
                <w:sz w:val="18"/>
              </w:rPr>
            </w:pPr>
            <w:r w:rsidRPr="00C05756">
              <w:rPr>
                <w:sz w:val="18"/>
              </w:rPr>
              <w:t>First Homes (-50%)</w:t>
            </w:r>
          </w:p>
        </w:tc>
        <w:tc>
          <w:tcPr>
            <w:tcW w:w="1163" w:type="dxa"/>
            <w:tcBorders>
              <w:top w:val="nil"/>
              <w:left w:val="single" w:sz="4" w:space="0" w:color="auto"/>
              <w:bottom w:val="single" w:sz="4" w:space="0" w:color="auto"/>
              <w:right w:val="single" w:sz="4" w:space="0" w:color="auto"/>
            </w:tcBorders>
            <w:shd w:val="clear" w:color="000000" w:fill="FFFFFF"/>
            <w:vAlign w:val="center"/>
          </w:tcPr>
          <w:p w14:paraId="171E6BE3" w14:textId="088CA768" w:rsidR="009C4443" w:rsidRPr="009C4443" w:rsidRDefault="009C4443" w:rsidP="009C4443">
            <w:pPr>
              <w:spacing w:line="276" w:lineRule="auto"/>
              <w:jc w:val="center"/>
              <w:rPr>
                <w:sz w:val="20"/>
                <w:szCs w:val="20"/>
              </w:rPr>
            </w:pPr>
            <w:r w:rsidRPr="009C4443">
              <w:rPr>
                <w:rFonts w:ascii="Arial" w:hAnsi="Arial" w:cs="Arial"/>
                <w:color w:val="000000"/>
                <w:sz w:val="20"/>
                <w:szCs w:val="20"/>
              </w:rPr>
              <w:t>£83,212</w:t>
            </w:r>
          </w:p>
        </w:tc>
        <w:tc>
          <w:tcPr>
            <w:tcW w:w="1020" w:type="dxa"/>
            <w:tcBorders>
              <w:top w:val="nil"/>
              <w:left w:val="nil"/>
              <w:bottom w:val="single" w:sz="4" w:space="0" w:color="auto"/>
              <w:right w:val="single" w:sz="4" w:space="0" w:color="auto"/>
            </w:tcBorders>
            <w:shd w:val="clear" w:color="000000" w:fill="FFFFFF"/>
            <w:vAlign w:val="center"/>
          </w:tcPr>
          <w:p w14:paraId="051DA841" w14:textId="16FEF708" w:rsidR="009C4443" w:rsidRPr="009C4443" w:rsidRDefault="009C4443" w:rsidP="009C4443">
            <w:pPr>
              <w:spacing w:line="276" w:lineRule="auto"/>
              <w:jc w:val="center"/>
              <w:rPr>
                <w:sz w:val="20"/>
                <w:szCs w:val="20"/>
              </w:rPr>
            </w:pPr>
            <w:r w:rsidRPr="009C4443">
              <w:rPr>
                <w:rFonts w:ascii="Arial" w:hAnsi="Arial" w:cs="Arial"/>
                <w:color w:val="000000"/>
                <w:sz w:val="20"/>
                <w:szCs w:val="20"/>
              </w:rPr>
              <w:t>-</w:t>
            </w:r>
          </w:p>
        </w:tc>
        <w:tc>
          <w:tcPr>
            <w:tcW w:w="1201" w:type="dxa"/>
            <w:tcBorders>
              <w:top w:val="nil"/>
              <w:left w:val="nil"/>
              <w:bottom w:val="single" w:sz="4" w:space="0" w:color="auto"/>
              <w:right w:val="single" w:sz="4" w:space="0" w:color="auto"/>
            </w:tcBorders>
            <w:shd w:val="clear" w:color="000000" w:fill="FFFFFF"/>
            <w:vAlign w:val="center"/>
          </w:tcPr>
          <w:p w14:paraId="5DCC6F59" w14:textId="4E57B4DD" w:rsidR="009C4443" w:rsidRPr="009C4443" w:rsidRDefault="009C4443" w:rsidP="009C4443">
            <w:pPr>
              <w:spacing w:line="276" w:lineRule="auto"/>
              <w:jc w:val="center"/>
              <w:rPr>
                <w:b/>
                <w:bCs/>
                <w:sz w:val="20"/>
                <w:szCs w:val="20"/>
              </w:rPr>
            </w:pPr>
            <w:r w:rsidRPr="009C4443">
              <w:rPr>
                <w:rFonts w:ascii="Arial" w:hAnsi="Arial" w:cs="Arial"/>
                <w:b/>
                <w:bCs/>
                <w:color w:val="000000"/>
                <w:sz w:val="20"/>
                <w:szCs w:val="20"/>
              </w:rPr>
              <w:t>£23,775</w:t>
            </w:r>
          </w:p>
        </w:tc>
        <w:tc>
          <w:tcPr>
            <w:tcW w:w="1297"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06D889D8" w14:textId="15C25CA7" w:rsidR="009C4443" w:rsidRPr="009C4443" w:rsidRDefault="009C4443" w:rsidP="009C4443">
            <w:pPr>
              <w:spacing w:line="276" w:lineRule="auto"/>
              <w:jc w:val="center"/>
              <w:rPr>
                <w:sz w:val="20"/>
                <w:szCs w:val="20"/>
              </w:rPr>
            </w:pPr>
            <w:r w:rsidRPr="009C4443">
              <w:rPr>
                <w:rFonts w:ascii="Arial" w:hAnsi="Arial" w:cs="Arial"/>
                <w:color w:val="000000"/>
                <w:sz w:val="20"/>
                <w:szCs w:val="20"/>
              </w:rPr>
              <w:t>Yes</w:t>
            </w:r>
          </w:p>
        </w:tc>
        <w:tc>
          <w:tcPr>
            <w:tcW w:w="1298" w:type="dxa"/>
            <w:tcBorders>
              <w:top w:val="single" w:sz="4" w:space="0" w:color="auto"/>
              <w:left w:val="single" w:sz="4" w:space="0" w:color="auto"/>
              <w:bottom w:val="single" w:sz="4" w:space="0" w:color="auto"/>
              <w:right w:val="single" w:sz="4" w:space="0" w:color="auto"/>
            </w:tcBorders>
            <w:shd w:val="clear" w:color="auto" w:fill="F7A69E" w:themeFill="accent4" w:themeFillTint="66"/>
            <w:vAlign w:val="center"/>
          </w:tcPr>
          <w:p w14:paraId="3C2CD526" w14:textId="5C692864" w:rsidR="009C4443" w:rsidRPr="009C4443" w:rsidRDefault="009C4443" w:rsidP="009C4443">
            <w:pPr>
              <w:spacing w:line="276" w:lineRule="auto"/>
              <w:jc w:val="center"/>
              <w:rPr>
                <w:sz w:val="20"/>
                <w:szCs w:val="20"/>
              </w:rPr>
            </w:pPr>
            <w:r w:rsidRPr="009C4443">
              <w:rPr>
                <w:rFonts w:ascii="Arial" w:hAnsi="Arial" w:cs="Arial"/>
                <w:color w:val="000000"/>
                <w:sz w:val="20"/>
                <w:szCs w:val="20"/>
              </w:rPr>
              <w:t>No</w:t>
            </w:r>
          </w:p>
        </w:tc>
        <w:tc>
          <w:tcPr>
            <w:tcW w:w="1298"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1EF9D6B1" w14:textId="493F673C" w:rsidR="009C4443" w:rsidRPr="009C4443" w:rsidRDefault="009C4443" w:rsidP="009C4443">
            <w:pPr>
              <w:spacing w:line="276" w:lineRule="auto"/>
              <w:jc w:val="center"/>
              <w:rPr>
                <w:sz w:val="20"/>
                <w:szCs w:val="20"/>
              </w:rPr>
            </w:pPr>
            <w:r w:rsidRPr="009C4443">
              <w:rPr>
                <w:rFonts w:ascii="Arial" w:hAnsi="Arial" w:cs="Arial"/>
                <w:color w:val="000000"/>
                <w:sz w:val="20"/>
                <w:szCs w:val="20"/>
              </w:rPr>
              <w:t>Yes</w:t>
            </w:r>
          </w:p>
        </w:tc>
      </w:tr>
      <w:tr w:rsidR="009C4443" w:rsidRPr="00FA11CB" w14:paraId="0BEED1F3" w14:textId="77777777" w:rsidTr="005B38A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tcPr>
          <w:p w14:paraId="3D48F976" w14:textId="77777777" w:rsidR="009C4443" w:rsidRPr="00C05756" w:rsidRDefault="009C4443" w:rsidP="009C4443">
            <w:pPr>
              <w:spacing w:line="276" w:lineRule="auto"/>
              <w:jc w:val="both"/>
              <w:rPr>
                <w:sz w:val="18"/>
              </w:rPr>
            </w:pPr>
            <w:r w:rsidRPr="00C05756">
              <w:rPr>
                <w:sz w:val="18"/>
              </w:rPr>
              <w:t>Shared Ownership (50%)</w:t>
            </w:r>
          </w:p>
        </w:tc>
        <w:tc>
          <w:tcPr>
            <w:tcW w:w="1163" w:type="dxa"/>
            <w:tcBorders>
              <w:top w:val="nil"/>
              <w:left w:val="single" w:sz="4" w:space="0" w:color="auto"/>
              <w:bottom w:val="single" w:sz="4" w:space="0" w:color="auto"/>
              <w:right w:val="single" w:sz="4" w:space="0" w:color="auto"/>
            </w:tcBorders>
            <w:shd w:val="clear" w:color="000000" w:fill="FFFFFF"/>
            <w:vAlign w:val="center"/>
          </w:tcPr>
          <w:p w14:paraId="3396F76A" w14:textId="206839A6" w:rsidR="009C4443" w:rsidRPr="009C4443" w:rsidRDefault="009C4443" w:rsidP="009C4443">
            <w:pPr>
              <w:spacing w:line="276" w:lineRule="auto"/>
              <w:jc w:val="center"/>
              <w:rPr>
                <w:sz w:val="20"/>
                <w:szCs w:val="20"/>
              </w:rPr>
            </w:pPr>
            <w:r w:rsidRPr="009C4443">
              <w:rPr>
                <w:rFonts w:ascii="Arial" w:hAnsi="Arial" w:cs="Arial"/>
                <w:color w:val="000000"/>
                <w:sz w:val="20"/>
                <w:szCs w:val="20"/>
              </w:rPr>
              <w:t>£83,212</w:t>
            </w:r>
          </w:p>
        </w:tc>
        <w:tc>
          <w:tcPr>
            <w:tcW w:w="1020" w:type="dxa"/>
            <w:tcBorders>
              <w:top w:val="nil"/>
              <w:left w:val="nil"/>
              <w:bottom w:val="single" w:sz="4" w:space="0" w:color="auto"/>
              <w:right w:val="single" w:sz="4" w:space="0" w:color="auto"/>
            </w:tcBorders>
            <w:shd w:val="clear" w:color="000000" w:fill="FFFFFF"/>
            <w:vAlign w:val="center"/>
          </w:tcPr>
          <w:p w14:paraId="419E654A" w14:textId="59784868" w:rsidR="009C4443" w:rsidRPr="009C4443" w:rsidRDefault="009C4443" w:rsidP="009C4443">
            <w:pPr>
              <w:spacing w:line="276" w:lineRule="auto"/>
              <w:jc w:val="center"/>
              <w:rPr>
                <w:sz w:val="20"/>
                <w:szCs w:val="20"/>
              </w:rPr>
            </w:pPr>
            <w:r w:rsidRPr="009C4443">
              <w:rPr>
                <w:rFonts w:ascii="Arial" w:hAnsi="Arial" w:cs="Arial"/>
                <w:color w:val="000000"/>
                <w:sz w:val="20"/>
                <w:szCs w:val="20"/>
              </w:rPr>
              <w:t>£2,311</w:t>
            </w:r>
          </w:p>
        </w:tc>
        <w:tc>
          <w:tcPr>
            <w:tcW w:w="1201" w:type="dxa"/>
            <w:tcBorders>
              <w:top w:val="nil"/>
              <w:left w:val="nil"/>
              <w:bottom w:val="single" w:sz="4" w:space="0" w:color="auto"/>
              <w:right w:val="single" w:sz="4" w:space="0" w:color="auto"/>
            </w:tcBorders>
            <w:shd w:val="clear" w:color="000000" w:fill="FFFFFF"/>
            <w:vAlign w:val="center"/>
          </w:tcPr>
          <w:p w14:paraId="74A0A22B" w14:textId="767E92F9" w:rsidR="009C4443" w:rsidRPr="009C4443" w:rsidRDefault="009C4443" w:rsidP="009C4443">
            <w:pPr>
              <w:spacing w:line="276" w:lineRule="auto"/>
              <w:jc w:val="center"/>
              <w:rPr>
                <w:b/>
                <w:bCs/>
                <w:sz w:val="20"/>
                <w:szCs w:val="20"/>
              </w:rPr>
            </w:pPr>
            <w:r w:rsidRPr="009C4443">
              <w:rPr>
                <w:rFonts w:ascii="Arial" w:hAnsi="Arial" w:cs="Arial"/>
                <w:b/>
                <w:bCs/>
                <w:color w:val="000000"/>
                <w:sz w:val="20"/>
                <w:szCs w:val="20"/>
              </w:rPr>
              <w:t>£31,480</w:t>
            </w:r>
          </w:p>
        </w:tc>
        <w:tc>
          <w:tcPr>
            <w:tcW w:w="1297"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517A471A" w14:textId="70D94873" w:rsidR="009C4443" w:rsidRPr="009C4443" w:rsidRDefault="009C4443" w:rsidP="009C4443">
            <w:pPr>
              <w:spacing w:line="276" w:lineRule="auto"/>
              <w:jc w:val="center"/>
              <w:rPr>
                <w:sz w:val="20"/>
                <w:szCs w:val="20"/>
              </w:rPr>
            </w:pPr>
            <w:r w:rsidRPr="009C4443">
              <w:rPr>
                <w:rFonts w:ascii="Arial" w:hAnsi="Arial" w:cs="Arial"/>
                <w:color w:val="000000"/>
                <w:sz w:val="20"/>
                <w:szCs w:val="20"/>
              </w:rPr>
              <w:t>Yes</w:t>
            </w:r>
          </w:p>
        </w:tc>
        <w:tc>
          <w:tcPr>
            <w:tcW w:w="1298" w:type="dxa"/>
            <w:tcBorders>
              <w:top w:val="single" w:sz="4" w:space="0" w:color="auto"/>
              <w:left w:val="single" w:sz="4" w:space="0" w:color="auto"/>
              <w:bottom w:val="single" w:sz="4" w:space="0" w:color="auto"/>
              <w:right w:val="single" w:sz="4" w:space="0" w:color="auto"/>
            </w:tcBorders>
            <w:shd w:val="clear" w:color="auto" w:fill="F7A69E" w:themeFill="accent4" w:themeFillTint="66"/>
            <w:vAlign w:val="center"/>
          </w:tcPr>
          <w:p w14:paraId="5B069778" w14:textId="5ABD567E" w:rsidR="009C4443" w:rsidRPr="009C4443" w:rsidRDefault="009C4443" w:rsidP="009C4443">
            <w:pPr>
              <w:spacing w:line="276" w:lineRule="auto"/>
              <w:jc w:val="center"/>
              <w:rPr>
                <w:sz w:val="20"/>
                <w:szCs w:val="20"/>
              </w:rPr>
            </w:pPr>
            <w:r w:rsidRPr="009C4443">
              <w:rPr>
                <w:rFonts w:ascii="Arial" w:hAnsi="Arial" w:cs="Arial"/>
                <w:color w:val="000000"/>
                <w:sz w:val="20"/>
                <w:szCs w:val="20"/>
              </w:rPr>
              <w:t>No</w:t>
            </w:r>
          </w:p>
        </w:tc>
        <w:tc>
          <w:tcPr>
            <w:tcW w:w="1298"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26EDCD6F" w14:textId="2CABFD36" w:rsidR="009C4443" w:rsidRPr="009C4443" w:rsidRDefault="009C4443" w:rsidP="009C4443">
            <w:pPr>
              <w:spacing w:line="276" w:lineRule="auto"/>
              <w:jc w:val="center"/>
              <w:rPr>
                <w:sz w:val="20"/>
                <w:szCs w:val="20"/>
              </w:rPr>
            </w:pPr>
            <w:r w:rsidRPr="009C4443">
              <w:rPr>
                <w:rFonts w:ascii="Arial" w:hAnsi="Arial" w:cs="Arial"/>
                <w:color w:val="000000"/>
                <w:sz w:val="20"/>
                <w:szCs w:val="20"/>
              </w:rPr>
              <w:t>Yes</w:t>
            </w:r>
          </w:p>
        </w:tc>
      </w:tr>
      <w:tr w:rsidR="009C4443" w:rsidRPr="00FA11CB" w14:paraId="28ACF728" w14:textId="77777777" w:rsidTr="005B38A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tcPr>
          <w:p w14:paraId="63F91AB6" w14:textId="77777777" w:rsidR="009C4443" w:rsidRPr="00C05756" w:rsidRDefault="009C4443" w:rsidP="009C4443">
            <w:pPr>
              <w:spacing w:line="276" w:lineRule="auto"/>
              <w:jc w:val="both"/>
              <w:rPr>
                <w:sz w:val="18"/>
              </w:rPr>
            </w:pPr>
            <w:r w:rsidRPr="00C05756">
              <w:rPr>
                <w:sz w:val="18"/>
              </w:rPr>
              <w:t>Shared Ownership (25%)</w:t>
            </w:r>
          </w:p>
        </w:tc>
        <w:tc>
          <w:tcPr>
            <w:tcW w:w="1163" w:type="dxa"/>
            <w:tcBorders>
              <w:top w:val="nil"/>
              <w:left w:val="single" w:sz="4" w:space="0" w:color="auto"/>
              <w:bottom w:val="single" w:sz="4" w:space="0" w:color="auto"/>
              <w:right w:val="single" w:sz="4" w:space="0" w:color="auto"/>
            </w:tcBorders>
            <w:shd w:val="clear" w:color="000000" w:fill="FFFFFF"/>
            <w:vAlign w:val="center"/>
          </w:tcPr>
          <w:p w14:paraId="6682A43D" w14:textId="5D1DC77F" w:rsidR="009C4443" w:rsidRPr="009C4443" w:rsidRDefault="009C4443" w:rsidP="009C4443">
            <w:pPr>
              <w:spacing w:line="276" w:lineRule="auto"/>
              <w:jc w:val="center"/>
              <w:rPr>
                <w:sz w:val="20"/>
                <w:szCs w:val="20"/>
              </w:rPr>
            </w:pPr>
            <w:r w:rsidRPr="009C4443">
              <w:rPr>
                <w:rFonts w:ascii="Arial" w:hAnsi="Arial" w:cs="Arial"/>
                <w:color w:val="000000"/>
                <w:sz w:val="20"/>
                <w:szCs w:val="20"/>
              </w:rPr>
              <w:t>£41,606</w:t>
            </w:r>
          </w:p>
        </w:tc>
        <w:tc>
          <w:tcPr>
            <w:tcW w:w="1020" w:type="dxa"/>
            <w:tcBorders>
              <w:top w:val="nil"/>
              <w:left w:val="nil"/>
              <w:bottom w:val="single" w:sz="4" w:space="0" w:color="auto"/>
              <w:right w:val="single" w:sz="4" w:space="0" w:color="auto"/>
            </w:tcBorders>
            <w:shd w:val="clear" w:color="000000" w:fill="FFFFFF"/>
            <w:vAlign w:val="center"/>
          </w:tcPr>
          <w:p w14:paraId="3CE3961F" w14:textId="5A7B4CE5" w:rsidR="009C4443" w:rsidRPr="009C4443" w:rsidRDefault="009C4443" w:rsidP="009C4443">
            <w:pPr>
              <w:spacing w:line="276" w:lineRule="auto"/>
              <w:jc w:val="center"/>
              <w:rPr>
                <w:sz w:val="20"/>
                <w:szCs w:val="20"/>
              </w:rPr>
            </w:pPr>
            <w:r w:rsidRPr="009C4443">
              <w:rPr>
                <w:rFonts w:ascii="Arial" w:hAnsi="Arial" w:cs="Arial"/>
                <w:color w:val="000000"/>
                <w:sz w:val="20"/>
                <w:szCs w:val="20"/>
              </w:rPr>
              <w:t>£3,467</w:t>
            </w:r>
          </w:p>
        </w:tc>
        <w:tc>
          <w:tcPr>
            <w:tcW w:w="1201" w:type="dxa"/>
            <w:tcBorders>
              <w:top w:val="nil"/>
              <w:left w:val="nil"/>
              <w:bottom w:val="single" w:sz="4" w:space="0" w:color="auto"/>
              <w:right w:val="single" w:sz="4" w:space="0" w:color="auto"/>
            </w:tcBorders>
            <w:shd w:val="clear" w:color="000000" w:fill="FFFFFF"/>
            <w:vAlign w:val="center"/>
          </w:tcPr>
          <w:p w14:paraId="0202F490" w14:textId="4741CD66" w:rsidR="009C4443" w:rsidRPr="009C4443" w:rsidRDefault="009C4443" w:rsidP="009C4443">
            <w:pPr>
              <w:spacing w:line="276" w:lineRule="auto"/>
              <w:jc w:val="center"/>
              <w:rPr>
                <w:b/>
                <w:bCs/>
                <w:sz w:val="20"/>
                <w:szCs w:val="20"/>
              </w:rPr>
            </w:pPr>
            <w:r w:rsidRPr="009C4443">
              <w:rPr>
                <w:rFonts w:ascii="Arial" w:hAnsi="Arial" w:cs="Arial"/>
                <w:b/>
                <w:bCs/>
                <w:color w:val="000000"/>
                <w:sz w:val="20"/>
                <w:szCs w:val="20"/>
              </w:rPr>
              <w:t>£23,445</w:t>
            </w:r>
          </w:p>
        </w:tc>
        <w:tc>
          <w:tcPr>
            <w:tcW w:w="1297"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466CEEDC" w14:textId="4271A496" w:rsidR="009C4443" w:rsidRPr="009C4443" w:rsidRDefault="009C4443" w:rsidP="009C4443">
            <w:pPr>
              <w:spacing w:line="276" w:lineRule="auto"/>
              <w:jc w:val="center"/>
              <w:rPr>
                <w:sz w:val="20"/>
                <w:szCs w:val="20"/>
              </w:rPr>
            </w:pPr>
            <w:r w:rsidRPr="009C4443">
              <w:rPr>
                <w:rFonts w:ascii="Arial" w:hAnsi="Arial" w:cs="Arial"/>
                <w:color w:val="000000"/>
                <w:sz w:val="20"/>
                <w:szCs w:val="20"/>
              </w:rPr>
              <w:t>Yes</w:t>
            </w:r>
          </w:p>
        </w:tc>
        <w:tc>
          <w:tcPr>
            <w:tcW w:w="1298" w:type="dxa"/>
            <w:tcBorders>
              <w:top w:val="single" w:sz="4" w:space="0" w:color="auto"/>
              <w:left w:val="single" w:sz="4" w:space="0" w:color="auto"/>
              <w:bottom w:val="single" w:sz="4" w:space="0" w:color="auto"/>
              <w:right w:val="single" w:sz="4" w:space="0" w:color="auto"/>
            </w:tcBorders>
            <w:shd w:val="clear" w:color="auto" w:fill="F7A69E" w:themeFill="accent4" w:themeFillTint="66"/>
            <w:vAlign w:val="center"/>
          </w:tcPr>
          <w:p w14:paraId="5C1450C1" w14:textId="1CC3E2DD" w:rsidR="009C4443" w:rsidRPr="009C4443" w:rsidRDefault="009C4443" w:rsidP="009C4443">
            <w:pPr>
              <w:spacing w:line="276" w:lineRule="auto"/>
              <w:jc w:val="center"/>
              <w:rPr>
                <w:sz w:val="20"/>
                <w:szCs w:val="20"/>
              </w:rPr>
            </w:pPr>
            <w:r w:rsidRPr="009C4443">
              <w:rPr>
                <w:rFonts w:ascii="Arial" w:hAnsi="Arial" w:cs="Arial"/>
                <w:color w:val="000000"/>
                <w:sz w:val="20"/>
                <w:szCs w:val="20"/>
              </w:rPr>
              <w:t>No</w:t>
            </w:r>
          </w:p>
        </w:tc>
        <w:tc>
          <w:tcPr>
            <w:tcW w:w="1298"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126ADD00" w14:textId="21E2FFFE" w:rsidR="009C4443" w:rsidRPr="009C4443" w:rsidRDefault="009C4443" w:rsidP="009C4443">
            <w:pPr>
              <w:spacing w:line="276" w:lineRule="auto"/>
              <w:jc w:val="center"/>
              <w:rPr>
                <w:sz w:val="20"/>
                <w:szCs w:val="20"/>
              </w:rPr>
            </w:pPr>
            <w:r w:rsidRPr="009C4443">
              <w:rPr>
                <w:rFonts w:ascii="Arial" w:hAnsi="Arial" w:cs="Arial"/>
                <w:color w:val="000000"/>
                <w:sz w:val="20"/>
                <w:szCs w:val="20"/>
              </w:rPr>
              <w:t>Yes</w:t>
            </w:r>
          </w:p>
        </w:tc>
      </w:tr>
      <w:tr w:rsidR="009C4443" w:rsidRPr="00FA11CB" w14:paraId="4282C195" w14:textId="77777777" w:rsidTr="005B38A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tcPr>
          <w:p w14:paraId="0E928F2D" w14:textId="77777777" w:rsidR="009C4443" w:rsidRPr="00C05756" w:rsidRDefault="009C4443" w:rsidP="009C4443">
            <w:pPr>
              <w:spacing w:line="276" w:lineRule="auto"/>
              <w:jc w:val="both"/>
              <w:rPr>
                <w:sz w:val="18"/>
              </w:rPr>
            </w:pPr>
            <w:r w:rsidRPr="00C05756">
              <w:rPr>
                <w:sz w:val="18"/>
              </w:rPr>
              <w:t>Shared Ownership (10%)</w:t>
            </w:r>
          </w:p>
        </w:tc>
        <w:tc>
          <w:tcPr>
            <w:tcW w:w="1163" w:type="dxa"/>
            <w:tcBorders>
              <w:top w:val="nil"/>
              <w:left w:val="single" w:sz="4" w:space="0" w:color="auto"/>
              <w:bottom w:val="single" w:sz="4" w:space="0" w:color="auto"/>
              <w:right w:val="single" w:sz="4" w:space="0" w:color="auto"/>
            </w:tcBorders>
            <w:shd w:val="clear" w:color="000000" w:fill="FFFFFF"/>
            <w:vAlign w:val="center"/>
          </w:tcPr>
          <w:p w14:paraId="278B7C6D" w14:textId="1C838699" w:rsidR="009C4443" w:rsidRPr="009C4443" w:rsidRDefault="009C4443" w:rsidP="009C4443">
            <w:pPr>
              <w:spacing w:line="276" w:lineRule="auto"/>
              <w:jc w:val="center"/>
              <w:rPr>
                <w:sz w:val="20"/>
                <w:szCs w:val="20"/>
              </w:rPr>
            </w:pPr>
            <w:r w:rsidRPr="009C4443">
              <w:rPr>
                <w:rFonts w:ascii="Arial" w:hAnsi="Arial" w:cs="Arial"/>
                <w:color w:val="000000"/>
                <w:sz w:val="20"/>
                <w:szCs w:val="20"/>
              </w:rPr>
              <w:t>£16,642</w:t>
            </w:r>
          </w:p>
        </w:tc>
        <w:tc>
          <w:tcPr>
            <w:tcW w:w="1020" w:type="dxa"/>
            <w:tcBorders>
              <w:top w:val="nil"/>
              <w:left w:val="nil"/>
              <w:bottom w:val="single" w:sz="4" w:space="0" w:color="auto"/>
              <w:right w:val="single" w:sz="4" w:space="0" w:color="auto"/>
            </w:tcBorders>
            <w:shd w:val="clear" w:color="000000" w:fill="FFFFFF"/>
            <w:vAlign w:val="center"/>
          </w:tcPr>
          <w:p w14:paraId="2D313B97" w14:textId="7CCF4E74" w:rsidR="009C4443" w:rsidRPr="009C4443" w:rsidRDefault="009C4443" w:rsidP="009C4443">
            <w:pPr>
              <w:spacing w:line="276" w:lineRule="auto"/>
              <w:jc w:val="center"/>
              <w:rPr>
                <w:sz w:val="20"/>
                <w:szCs w:val="20"/>
              </w:rPr>
            </w:pPr>
            <w:r w:rsidRPr="009C4443">
              <w:rPr>
                <w:rFonts w:ascii="Arial" w:hAnsi="Arial" w:cs="Arial"/>
                <w:color w:val="000000"/>
                <w:sz w:val="20"/>
                <w:szCs w:val="20"/>
              </w:rPr>
              <w:t>£4,161</w:t>
            </w:r>
          </w:p>
        </w:tc>
        <w:tc>
          <w:tcPr>
            <w:tcW w:w="1201" w:type="dxa"/>
            <w:tcBorders>
              <w:top w:val="nil"/>
              <w:left w:val="nil"/>
              <w:bottom w:val="single" w:sz="4" w:space="0" w:color="auto"/>
              <w:right w:val="single" w:sz="4" w:space="0" w:color="auto"/>
            </w:tcBorders>
            <w:shd w:val="clear" w:color="000000" w:fill="FFFFFF"/>
            <w:vAlign w:val="center"/>
          </w:tcPr>
          <w:p w14:paraId="54C7C91A" w14:textId="3801C528" w:rsidR="009C4443" w:rsidRPr="009C4443" w:rsidRDefault="009C4443" w:rsidP="009C4443">
            <w:pPr>
              <w:spacing w:line="276" w:lineRule="auto"/>
              <w:jc w:val="center"/>
              <w:rPr>
                <w:b/>
                <w:bCs/>
                <w:sz w:val="20"/>
                <w:szCs w:val="20"/>
              </w:rPr>
            </w:pPr>
            <w:r w:rsidRPr="009C4443">
              <w:rPr>
                <w:rFonts w:ascii="Arial" w:hAnsi="Arial" w:cs="Arial"/>
                <w:b/>
                <w:bCs/>
                <w:color w:val="000000"/>
                <w:sz w:val="20"/>
                <w:szCs w:val="20"/>
              </w:rPr>
              <w:t>£18,624</w:t>
            </w:r>
          </w:p>
        </w:tc>
        <w:tc>
          <w:tcPr>
            <w:tcW w:w="1297"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0F7ABB99" w14:textId="36F563AD" w:rsidR="009C4443" w:rsidRPr="009C4443" w:rsidRDefault="009C4443" w:rsidP="009C4443">
            <w:pPr>
              <w:spacing w:line="276" w:lineRule="auto"/>
              <w:jc w:val="center"/>
              <w:rPr>
                <w:sz w:val="20"/>
                <w:szCs w:val="20"/>
              </w:rPr>
            </w:pPr>
            <w:r w:rsidRPr="009C4443">
              <w:rPr>
                <w:rFonts w:ascii="Arial" w:hAnsi="Arial" w:cs="Arial"/>
                <w:color w:val="000000"/>
                <w:sz w:val="20"/>
                <w:szCs w:val="20"/>
              </w:rPr>
              <w:t>Yes</w:t>
            </w:r>
          </w:p>
        </w:tc>
        <w:tc>
          <w:tcPr>
            <w:tcW w:w="1298" w:type="dxa"/>
            <w:tcBorders>
              <w:top w:val="single" w:sz="4" w:space="0" w:color="auto"/>
              <w:left w:val="single" w:sz="4" w:space="0" w:color="auto"/>
              <w:bottom w:val="single" w:sz="4" w:space="0" w:color="auto"/>
              <w:right w:val="single" w:sz="4" w:space="0" w:color="auto"/>
            </w:tcBorders>
            <w:shd w:val="clear" w:color="auto" w:fill="F7A69E" w:themeFill="accent4" w:themeFillTint="66"/>
            <w:vAlign w:val="center"/>
          </w:tcPr>
          <w:p w14:paraId="727B8531" w14:textId="7EFDBD02" w:rsidR="009C4443" w:rsidRPr="009C4443" w:rsidRDefault="009C4443" w:rsidP="009C4443">
            <w:pPr>
              <w:spacing w:line="276" w:lineRule="auto"/>
              <w:jc w:val="center"/>
              <w:rPr>
                <w:sz w:val="20"/>
                <w:szCs w:val="20"/>
              </w:rPr>
            </w:pPr>
            <w:r w:rsidRPr="009C4443">
              <w:rPr>
                <w:rFonts w:ascii="Arial" w:hAnsi="Arial" w:cs="Arial"/>
                <w:color w:val="000000"/>
                <w:sz w:val="20"/>
                <w:szCs w:val="20"/>
              </w:rPr>
              <w:t>No</w:t>
            </w:r>
          </w:p>
        </w:tc>
        <w:tc>
          <w:tcPr>
            <w:tcW w:w="1298"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07B193E1" w14:textId="75EFB31E" w:rsidR="009C4443" w:rsidRPr="009C4443" w:rsidRDefault="009C4443" w:rsidP="009C4443">
            <w:pPr>
              <w:spacing w:line="276" w:lineRule="auto"/>
              <w:jc w:val="center"/>
              <w:rPr>
                <w:sz w:val="20"/>
                <w:szCs w:val="20"/>
              </w:rPr>
            </w:pPr>
            <w:r w:rsidRPr="009C4443">
              <w:rPr>
                <w:rFonts w:ascii="Arial" w:hAnsi="Arial" w:cs="Arial"/>
                <w:color w:val="000000"/>
                <w:sz w:val="20"/>
                <w:szCs w:val="20"/>
              </w:rPr>
              <w:t>Yes</w:t>
            </w:r>
          </w:p>
        </w:tc>
      </w:tr>
      <w:tr w:rsidR="008129C3" w:rsidRPr="00FA11CB" w14:paraId="4E80C8A2" w14:textId="77777777" w:rsidTr="00021F51">
        <w:trPr>
          <w:trHeight w:val="300"/>
        </w:trPr>
        <w:tc>
          <w:tcPr>
            <w:tcW w:w="2547" w:type="dxa"/>
            <w:tcBorders>
              <w:top w:val="nil"/>
              <w:left w:val="single" w:sz="4" w:space="0" w:color="auto"/>
              <w:bottom w:val="single" w:sz="4" w:space="0" w:color="auto"/>
              <w:right w:val="nil"/>
            </w:tcBorders>
            <w:shd w:val="clear" w:color="000000" w:fill="F2F2F2"/>
            <w:noWrap/>
            <w:vAlign w:val="center"/>
            <w:hideMark/>
          </w:tcPr>
          <w:p w14:paraId="2D49365D" w14:textId="77777777" w:rsidR="008129C3" w:rsidRPr="00C05756" w:rsidRDefault="008129C3" w:rsidP="00252C91">
            <w:pPr>
              <w:spacing w:line="276" w:lineRule="auto"/>
              <w:jc w:val="both"/>
              <w:rPr>
                <w:b/>
                <w:bCs/>
                <w:sz w:val="18"/>
              </w:rPr>
            </w:pPr>
            <w:r w:rsidRPr="00C05756">
              <w:rPr>
                <w:b/>
                <w:bCs/>
                <w:sz w:val="18"/>
              </w:rPr>
              <w:t>Affordable Rented Housing</w:t>
            </w:r>
          </w:p>
        </w:tc>
        <w:tc>
          <w:tcPr>
            <w:tcW w:w="1163" w:type="dxa"/>
            <w:tcBorders>
              <w:top w:val="nil"/>
              <w:left w:val="nil"/>
              <w:bottom w:val="single" w:sz="4" w:space="0" w:color="auto"/>
              <w:right w:val="nil"/>
            </w:tcBorders>
            <w:shd w:val="clear" w:color="000000" w:fill="F2F2F2"/>
            <w:noWrap/>
            <w:vAlign w:val="center"/>
          </w:tcPr>
          <w:p w14:paraId="6CB76154" w14:textId="77777777" w:rsidR="008129C3" w:rsidRPr="00C05756" w:rsidRDefault="008129C3" w:rsidP="00252C91">
            <w:pPr>
              <w:spacing w:line="276" w:lineRule="auto"/>
              <w:jc w:val="both"/>
              <w:rPr>
                <w:b/>
                <w:bCs/>
                <w:sz w:val="18"/>
              </w:rPr>
            </w:pPr>
          </w:p>
        </w:tc>
        <w:tc>
          <w:tcPr>
            <w:tcW w:w="1020" w:type="dxa"/>
            <w:tcBorders>
              <w:top w:val="nil"/>
              <w:left w:val="nil"/>
              <w:bottom w:val="single" w:sz="4" w:space="0" w:color="auto"/>
              <w:right w:val="nil"/>
            </w:tcBorders>
            <w:shd w:val="clear" w:color="000000" w:fill="F2F2F2"/>
            <w:noWrap/>
            <w:vAlign w:val="center"/>
          </w:tcPr>
          <w:p w14:paraId="521DC1A9" w14:textId="77777777" w:rsidR="008129C3" w:rsidRPr="00C05756" w:rsidRDefault="008129C3" w:rsidP="00252C91">
            <w:pPr>
              <w:spacing w:line="276" w:lineRule="auto"/>
              <w:jc w:val="both"/>
              <w:rPr>
                <w:b/>
                <w:bCs/>
                <w:sz w:val="18"/>
              </w:rPr>
            </w:pPr>
          </w:p>
        </w:tc>
        <w:tc>
          <w:tcPr>
            <w:tcW w:w="1201" w:type="dxa"/>
            <w:tcBorders>
              <w:top w:val="nil"/>
              <w:left w:val="nil"/>
              <w:bottom w:val="single" w:sz="4" w:space="0" w:color="auto"/>
              <w:right w:val="nil"/>
            </w:tcBorders>
            <w:shd w:val="clear" w:color="000000" w:fill="F2F2F2"/>
            <w:noWrap/>
            <w:vAlign w:val="center"/>
          </w:tcPr>
          <w:p w14:paraId="5A9B4AD5" w14:textId="77777777" w:rsidR="008129C3" w:rsidRPr="00C05756" w:rsidRDefault="008129C3" w:rsidP="00252C91">
            <w:pPr>
              <w:spacing w:line="276" w:lineRule="auto"/>
              <w:jc w:val="both"/>
              <w:rPr>
                <w:b/>
                <w:bCs/>
                <w:sz w:val="18"/>
              </w:rPr>
            </w:pPr>
          </w:p>
        </w:tc>
        <w:tc>
          <w:tcPr>
            <w:tcW w:w="1297" w:type="dxa"/>
            <w:tcBorders>
              <w:top w:val="nil"/>
              <w:left w:val="nil"/>
              <w:bottom w:val="single" w:sz="4" w:space="0" w:color="auto"/>
              <w:right w:val="nil"/>
            </w:tcBorders>
            <w:shd w:val="clear" w:color="000000" w:fill="F2F2F2"/>
            <w:noWrap/>
            <w:vAlign w:val="center"/>
          </w:tcPr>
          <w:p w14:paraId="1292B070" w14:textId="77777777" w:rsidR="008129C3" w:rsidRPr="00C05756" w:rsidRDefault="008129C3" w:rsidP="00252C91">
            <w:pPr>
              <w:spacing w:line="276" w:lineRule="auto"/>
              <w:jc w:val="both"/>
              <w:rPr>
                <w:b/>
                <w:bCs/>
                <w:sz w:val="18"/>
              </w:rPr>
            </w:pPr>
          </w:p>
        </w:tc>
        <w:tc>
          <w:tcPr>
            <w:tcW w:w="1298" w:type="dxa"/>
            <w:tcBorders>
              <w:top w:val="nil"/>
              <w:left w:val="nil"/>
              <w:bottom w:val="single" w:sz="4" w:space="0" w:color="auto"/>
              <w:right w:val="nil"/>
            </w:tcBorders>
            <w:shd w:val="clear" w:color="000000" w:fill="F2F2F2"/>
            <w:noWrap/>
            <w:vAlign w:val="center"/>
          </w:tcPr>
          <w:p w14:paraId="2087711C" w14:textId="77777777" w:rsidR="008129C3" w:rsidRPr="00C05756" w:rsidRDefault="008129C3" w:rsidP="00252C91">
            <w:pPr>
              <w:spacing w:line="276" w:lineRule="auto"/>
              <w:jc w:val="both"/>
              <w:rPr>
                <w:b/>
                <w:bCs/>
                <w:sz w:val="18"/>
              </w:rPr>
            </w:pPr>
          </w:p>
        </w:tc>
        <w:tc>
          <w:tcPr>
            <w:tcW w:w="1298" w:type="dxa"/>
            <w:tcBorders>
              <w:top w:val="nil"/>
              <w:left w:val="nil"/>
              <w:bottom w:val="single" w:sz="4" w:space="0" w:color="auto"/>
              <w:right w:val="single" w:sz="4" w:space="0" w:color="auto"/>
            </w:tcBorders>
            <w:shd w:val="clear" w:color="000000" w:fill="F2F2F2"/>
            <w:noWrap/>
            <w:vAlign w:val="center"/>
          </w:tcPr>
          <w:p w14:paraId="070B1066" w14:textId="77777777" w:rsidR="008129C3" w:rsidRPr="00C05756" w:rsidRDefault="008129C3" w:rsidP="00252C91">
            <w:pPr>
              <w:spacing w:line="276" w:lineRule="auto"/>
              <w:jc w:val="both"/>
              <w:rPr>
                <w:b/>
                <w:bCs/>
                <w:sz w:val="18"/>
              </w:rPr>
            </w:pPr>
          </w:p>
        </w:tc>
      </w:tr>
      <w:tr w:rsidR="009C4443" w:rsidRPr="00FA11CB" w14:paraId="1A0A5857" w14:textId="77777777" w:rsidTr="005B38A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D9DD5CE" w14:textId="77777777" w:rsidR="009C4443" w:rsidRPr="00C05756" w:rsidRDefault="009C4443" w:rsidP="009C4443">
            <w:pPr>
              <w:spacing w:line="276" w:lineRule="auto"/>
              <w:jc w:val="both"/>
              <w:rPr>
                <w:sz w:val="18"/>
              </w:rPr>
            </w:pPr>
            <w:r w:rsidRPr="00C05756">
              <w:rPr>
                <w:sz w:val="18"/>
              </w:rPr>
              <w:t xml:space="preserve">Affordable Rent </w:t>
            </w: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center"/>
          </w:tcPr>
          <w:p w14:paraId="6B200957" w14:textId="4DC7D28B" w:rsidR="009C4443" w:rsidRPr="009C4443" w:rsidRDefault="009C4443" w:rsidP="009C4443">
            <w:pPr>
              <w:spacing w:line="276" w:lineRule="auto"/>
              <w:jc w:val="center"/>
              <w:rPr>
                <w:sz w:val="20"/>
                <w:szCs w:val="20"/>
              </w:rPr>
            </w:pPr>
            <w:r w:rsidRPr="009C4443">
              <w:rPr>
                <w:rFonts w:ascii="Arial" w:hAnsi="Arial" w:cs="Arial"/>
                <w:color w:val="000000"/>
                <w:sz w:val="20"/>
                <w:szCs w:val="20"/>
              </w:rPr>
              <w:t>-</w:t>
            </w:r>
          </w:p>
        </w:tc>
        <w:tc>
          <w:tcPr>
            <w:tcW w:w="1020" w:type="dxa"/>
            <w:tcBorders>
              <w:top w:val="single" w:sz="4" w:space="0" w:color="auto"/>
              <w:left w:val="nil"/>
              <w:bottom w:val="single" w:sz="4" w:space="0" w:color="auto"/>
              <w:right w:val="single" w:sz="4" w:space="0" w:color="auto"/>
            </w:tcBorders>
            <w:shd w:val="clear" w:color="000000" w:fill="FFFFFF"/>
            <w:vAlign w:val="center"/>
          </w:tcPr>
          <w:p w14:paraId="47132FB6" w14:textId="05E50C7F" w:rsidR="009C4443" w:rsidRPr="009C4443" w:rsidRDefault="009C4443" w:rsidP="009C4443">
            <w:pPr>
              <w:spacing w:line="276" w:lineRule="auto"/>
              <w:jc w:val="center"/>
              <w:rPr>
                <w:sz w:val="20"/>
                <w:szCs w:val="20"/>
              </w:rPr>
            </w:pPr>
            <w:r w:rsidRPr="009C4443">
              <w:rPr>
                <w:rFonts w:ascii="Arial" w:hAnsi="Arial" w:cs="Arial"/>
                <w:color w:val="000000"/>
                <w:sz w:val="20"/>
                <w:szCs w:val="20"/>
              </w:rPr>
              <w:t>£4,784</w:t>
            </w:r>
          </w:p>
        </w:tc>
        <w:tc>
          <w:tcPr>
            <w:tcW w:w="1201" w:type="dxa"/>
            <w:tcBorders>
              <w:top w:val="single" w:sz="4" w:space="0" w:color="auto"/>
              <w:left w:val="nil"/>
              <w:bottom w:val="single" w:sz="4" w:space="0" w:color="auto"/>
              <w:right w:val="single" w:sz="4" w:space="0" w:color="auto"/>
            </w:tcBorders>
            <w:shd w:val="clear" w:color="000000" w:fill="FFFFFF"/>
            <w:vAlign w:val="center"/>
          </w:tcPr>
          <w:p w14:paraId="461A428B" w14:textId="3F1D0A20" w:rsidR="009C4443" w:rsidRPr="009C4443" w:rsidRDefault="009C4443" w:rsidP="009C4443">
            <w:pPr>
              <w:spacing w:line="276" w:lineRule="auto"/>
              <w:jc w:val="center"/>
              <w:rPr>
                <w:b/>
                <w:bCs/>
                <w:sz w:val="20"/>
                <w:szCs w:val="20"/>
              </w:rPr>
            </w:pPr>
            <w:r w:rsidRPr="009C4443">
              <w:rPr>
                <w:rFonts w:ascii="Arial" w:hAnsi="Arial" w:cs="Arial"/>
                <w:b/>
                <w:bCs/>
                <w:color w:val="000000"/>
                <w:sz w:val="20"/>
                <w:szCs w:val="20"/>
              </w:rPr>
              <w:t>£15,947</w:t>
            </w:r>
          </w:p>
        </w:tc>
        <w:tc>
          <w:tcPr>
            <w:tcW w:w="1297"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787797C6" w14:textId="581A4AFC" w:rsidR="009C4443" w:rsidRPr="009C4443" w:rsidRDefault="009C4443" w:rsidP="009C4443">
            <w:pPr>
              <w:spacing w:line="276" w:lineRule="auto"/>
              <w:jc w:val="center"/>
              <w:rPr>
                <w:sz w:val="20"/>
                <w:szCs w:val="20"/>
              </w:rPr>
            </w:pPr>
            <w:r w:rsidRPr="009C4443">
              <w:rPr>
                <w:rFonts w:ascii="Arial" w:hAnsi="Arial" w:cs="Arial"/>
                <w:color w:val="000000"/>
                <w:sz w:val="20"/>
                <w:szCs w:val="20"/>
              </w:rPr>
              <w:t>Yes</w:t>
            </w:r>
          </w:p>
        </w:tc>
        <w:tc>
          <w:tcPr>
            <w:tcW w:w="1298"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1F06797F" w14:textId="03BB8BD4" w:rsidR="009C4443" w:rsidRPr="009C4443" w:rsidRDefault="009C4443" w:rsidP="009C4443">
            <w:pPr>
              <w:spacing w:line="276" w:lineRule="auto"/>
              <w:jc w:val="center"/>
              <w:rPr>
                <w:sz w:val="20"/>
                <w:szCs w:val="20"/>
              </w:rPr>
            </w:pPr>
            <w:r w:rsidRPr="009C4443">
              <w:rPr>
                <w:rFonts w:ascii="Arial" w:hAnsi="Arial" w:cs="Arial"/>
                <w:color w:val="000000"/>
                <w:sz w:val="20"/>
                <w:szCs w:val="20"/>
              </w:rPr>
              <w:t>Yes</w:t>
            </w:r>
          </w:p>
        </w:tc>
        <w:tc>
          <w:tcPr>
            <w:tcW w:w="1298"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566FCCA2" w14:textId="4CEFF52B" w:rsidR="009C4443" w:rsidRPr="009C4443" w:rsidRDefault="009C4443" w:rsidP="009C4443">
            <w:pPr>
              <w:spacing w:line="276" w:lineRule="auto"/>
              <w:jc w:val="center"/>
              <w:rPr>
                <w:sz w:val="20"/>
                <w:szCs w:val="20"/>
              </w:rPr>
            </w:pPr>
            <w:r w:rsidRPr="009C4443">
              <w:rPr>
                <w:rFonts w:ascii="Arial" w:hAnsi="Arial" w:cs="Arial"/>
                <w:color w:val="000000"/>
                <w:sz w:val="20"/>
                <w:szCs w:val="20"/>
              </w:rPr>
              <w:t>Yes</w:t>
            </w:r>
          </w:p>
        </w:tc>
      </w:tr>
      <w:tr w:rsidR="009C4443" w:rsidRPr="00FA11CB" w14:paraId="18208324" w14:textId="77777777" w:rsidTr="005B38A9">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9EBD441" w14:textId="77777777" w:rsidR="009C4443" w:rsidRPr="00C05756" w:rsidRDefault="009C4443" w:rsidP="009C4443">
            <w:pPr>
              <w:spacing w:line="276" w:lineRule="auto"/>
              <w:jc w:val="both"/>
              <w:rPr>
                <w:sz w:val="18"/>
              </w:rPr>
            </w:pPr>
            <w:r w:rsidRPr="00C05756">
              <w:rPr>
                <w:sz w:val="18"/>
              </w:rPr>
              <w:t xml:space="preserve">Social Rent </w:t>
            </w:r>
          </w:p>
        </w:tc>
        <w:tc>
          <w:tcPr>
            <w:tcW w:w="1163" w:type="dxa"/>
            <w:tcBorders>
              <w:top w:val="nil"/>
              <w:left w:val="single" w:sz="4" w:space="0" w:color="auto"/>
              <w:bottom w:val="single" w:sz="4" w:space="0" w:color="auto"/>
              <w:right w:val="single" w:sz="4" w:space="0" w:color="auto"/>
            </w:tcBorders>
            <w:shd w:val="clear" w:color="000000" w:fill="FFFFFF"/>
            <w:vAlign w:val="center"/>
          </w:tcPr>
          <w:p w14:paraId="073A8281" w14:textId="2C9D5275" w:rsidR="009C4443" w:rsidRPr="009C4443" w:rsidRDefault="009C4443" w:rsidP="009C4443">
            <w:pPr>
              <w:spacing w:line="276" w:lineRule="auto"/>
              <w:jc w:val="center"/>
              <w:rPr>
                <w:sz w:val="20"/>
                <w:szCs w:val="20"/>
              </w:rPr>
            </w:pPr>
            <w:r w:rsidRPr="009C4443">
              <w:rPr>
                <w:rFonts w:ascii="Arial" w:hAnsi="Arial" w:cs="Arial"/>
                <w:color w:val="000000"/>
                <w:sz w:val="20"/>
                <w:szCs w:val="20"/>
              </w:rPr>
              <w:t>-</w:t>
            </w:r>
          </w:p>
        </w:tc>
        <w:tc>
          <w:tcPr>
            <w:tcW w:w="1020" w:type="dxa"/>
            <w:tcBorders>
              <w:top w:val="nil"/>
              <w:left w:val="nil"/>
              <w:bottom w:val="single" w:sz="4" w:space="0" w:color="auto"/>
              <w:right w:val="single" w:sz="4" w:space="0" w:color="auto"/>
            </w:tcBorders>
            <w:shd w:val="clear" w:color="000000" w:fill="FFFFFF"/>
            <w:vAlign w:val="center"/>
          </w:tcPr>
          <w:p w14:paraId="6AAD4DE0" w14:textId="2A711232" w:rsidR="009C4443" w:rsidRPr="009C4443" w:rsidRDefault="009C4443" w:rsidP="009C4443">
            <w:pPr>
              <w:spacing w:line="276" w:lineRule="auto"/>
              <w:jc w:val="center"/>
              <w:rPr>
                <w:sz w:val="20"/>
                <w:szCs w:val="20"/>
              </w:rPr>
            </w:pPr>
            <w:r w:rsidRPr="009C4443">
              <w:rPr>
                <w:rFonts w:ascii="Arial" w:hAnsi="Arial" w:cs="Arial"/>
                <w:color w:val="000000"/>
                <w:sz w:val="20"/>
                <w:szCs w:val="20"/>
              </w:rPr>
              <w:t>£3,848</w:t>
            </w:r>
          </w:p>
        </w:tc>
        <w:tc>
          <w:tcPr>
            <w:tcW w:w="1201" w:type="dxa"/>
            <w:tcBorders>
              <w:top w:val="nil"/>
              <w:left w:val="nil"/>
              <w:bottom w:val="single" w:sz="4" w:space="0" w:color="auto"/>
              <w:right w:val="single" w:sz="4" w:space="0" w:color="auto"/>
            </w:tcBorders>
            <w:shd w:val="clear" w:color="000000" w:fill="FFFFFF"/>
            <w:vAlign w:val="center"/>
          </w:tcPr>
          <w:p w14:paraId="1591815D" w14:textId="4ED3CAC6" w:rsidR="009C4443" w:rsidRPr="009C4443" w:rsidRDefault="009C4443" w:rsidP="009C4443">
            <w:pPr>
              <w:spacing w:line="276" w:lineRule="auto"/>
              <w:jc w:val="center"/>
              <w:rPr>
                <w:b/>
                <w:bCs/>
                <w:sz w:val="20"/>
                <w:szCs w:val="20"/>
              </w:rPr>
            </w:pPr>
            <w:r w:rsidRPr="009C4443">
              <w:rPr>
                <w:rFonts w:ascii="Arial" w:hAnsi="Arial" w:cs="Arial"/>
                <w:b/>
                <w:bCs/>
                <w:color w:val="000000"/>
                <w:sz w:val="20"/>
                <w:szCs w:val="20"/>
              </w:rPr>
              <w:t>£12,827</w:t>
            </w:r>
          </w:p>
        </w:tc>
        <w:tc>
          <w:tcPr>
            <w:tcW w:w="1297"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0A1C9159" w14:textId="2E16FA21" w:rsidR="009C4443" w:rsidRPr="009C4443" w:rsidRDefault="009C4443" w:rsidP="009C4443">
            <w:pPr>
              <w:spacing w:line="276" w:lineRule="auto"/>
              <w:jc w:val="center"/>
              <w:rPr>
                <w:sz w:val="20"/>
                <w:szCs w:val="20"/>
              </w:rPr>
            </w:pPr>
            <w:r w:rsidRPr="009C4443">
              <w:rPr>
                <w:rFonts w:ascii="Arial" w:hAnsi="Arial" w:cs="Arial"/>
                <w:color w:val="000000"/>
                <w:sz w:val="20"/>
                <w:szCs w:val="20"/>
              </w:rPr>
              <w:t>Yes</w:t>
            </w:r>
          </w:p>
        </w:tc>
        <w:tc>
          <w:tcPr>
            <w:tcW w:w="1298"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0500BE88" w14:textId="4286828E" w:rsidR="009C4443" w:rsidRPr="009C4443" w:rsidRDefault="009C4443" w:rsidP="009C4443">
            <w:pPr>
              <w:spacing w:line="276" w:lineRule="auto"/>
              <w:jc w:val="center"/>
              <w:rPr>
                <w:sz w:val="20"/>
                <w:szCs w:val="20"/>
              </w:rPr>
            </w:pPr>
            <w:r w:rsidRPr="009C4443">
              <w:rPr>
                <w:rFonts w:ascii="Arial" w:hAnsi="Arial" w:cs="Arial"/>
                <w:color w:val="000000"/>
                <w:sz w:val="20"/>
                <w:szCs w:val="20"/>
              </w:rPr>
              <w:t>Yes</w:t>
            </w:r>
          </w:p>
        </w:tc>
        <w:tc>
          <w:tcPr>
            <w:tcW w:w="1298" w:type="dxa"/>
            <w:tcBorders>
              <w:top w:val="single" w:sz="4" w:space="0" w:color="auto"/>
              <w:left w:val="single" w:sz="4" w:space="0" w:color="auto"/>
              <w:bottom w:val="single" w:sz="4" w:space="0" w:color="auto"/>
              <w:right w:val="single" w:sz="4" w:space="0" w:color="auto"/>
            </w:tcBorders>
            <w:shd w:val="clear" w:color="auto" w:fill="CEE097" w:themeFill="accent3" w:themeFillTint="99"/>
            <w:vAlign w:val="center"/>
          </w:tcPr>
          <w:p w14:paraId="089A078E" w14:textId="3D4B4EC3" w:rsidR="009C4443" w:rsidRPr="009C4443" w:rsidRDefault="009C4443" w:rsidP="009C4443">
            <w:pPr>
              <w:spacing w:line="276" w:lineRule="auto"/>
              <w:jc w:val="center"/>
              <w:rPr>
                <w:sz w:val="20"/>
                <w:szCs w:val="20"/>
              </w:rPr>
            </w:pPr>
            <w:r w:rsidRPr="009C4443">
              <w:rPr>
                <w:rFonts w:ascii="Arial" w:hAnsi="Arial" w:cs="Arial"/>
                <w:color w:val="000000"/>
                <w:sz w:val="20"/>
                <w:szCs w:val="20"/>
              </w:rPr>
              <w:t>Yes</w:t>
            </w:r>
          </w:p>
        </w:tc>
      </w:tr>
    </w:tbl>
    <w:p w14:paraId="3253CA87" w14:textId="77777777" w:rsidR="008129C3" w:rsidRPr="00374C95" w:rsidRDefault="008129C3" w:rsidP="00252C91">
      <w:pPr>
        <w:pStyle w:val="Source"/>
        <w:jc w:val="both"/>
      </w:pPr>
      <w:r w:rsidRPr="00374C95">
        <w:t>Source: AECOM Calculations</w:t>
      </w:r>
    </w:p>
    <w:p w14:paraId="1E7809C0" w14:textId="77777777" w:rsidR="00290C33" w:rsidRDefault="008129C3" w:rsidP="00252C91">
      <w:pPr>
        <w:pStyle w:val="Numberedtext"/>
        <w:jc w:val="both"/>
      </w:pPr>
      <w:r w:rsidRPr="00AD7824">
        <w:lastRenderedPageBreak/>
        <w:t>Before considering each tenure category in turn, it is important to stress that these affordability thresholds have been calculated to give a</w:t>
      </w:r>
      <w:r w:rsidR="0079469C">
        <w:t>n</w:t>
      </w:r>
      <w:r w:rsidRPr="00AD7824">
        <w:t xml:space="preserve"> indication of the costs of various tenures to inform Neighbourhood Plan policy choices. These figures rely on existing data and assumptions, and it is not possible to estimate every possible permutation. The income figures also disguise a large degree of variation</w:t>
      </w:r>
      <w:r>
        <w:t>.</w:t>
      </w:r>
      <w:r w:rsidRPr="00AD7824">
        <w:t xml:space="preserve"> For simplicity the analysis below speaks in terms of tenure products being ‘affordable’ or ‘not affordable’ for different groups, but individual circumstances and the location, condition and other factors of specific properties in each category have a large impact. These conclusions should therefore be interpreted flexibly.</w:t>
      </w:r>
    </w:p>
    <w:p w14:paraId="3051625F" w14:textId="77777777" w:rsidR="008129C3" w:rsidRPr="00764F1A" w:rsidRDefault="008129C3" w:rsidP="00252C91">
      <w:pPr>
        <w:pStyle w:val="Heading4"/>
        <w:jc w:val="both"/>
        <w:rPr>
          <w:color w:val="auto"/>
        </w:rPr>
      </w:pPr>
      <w:r w:rsidRPr="00764F1A">
        <w:rPr>
          <w:color w:val="auto"/>
        </w:rPr>
        <w:t>Market housing for purchase and rent</w:t>
      </w:r>
    </w:p>
    <w:p w14:paraId="56CBC03A" w14:textId="4D547C04" w:rsidR="00440874" w:rsidRDefault="008129C3" w:rsidP="00252C91">
      <w:pPr>
        <w:pStyle w:val="Numberedtext"/>
        <w:jc w:val="both"/>
      </w:pPr>
      <w:r w:rsidRPr="00764F1A">
        <w:t xml:space="preserve">Thinking about housing for purchase on the open market, it appears that </w:t>
      </w:r>
      <w:bookmarkStart w:id="98" w:name="_Hlk69401268"/>
      <w:bookmarkStart w:id="99" w:name="_Hlk71040430"/>
      <w:r w:rsidRPr="00764F1A">
        <w:t>local households on average incomes</w:t>
      </w:r>
      <w:r w:rsidR="007F39F1">
        <w:t xml:space="preserve"> could </w:t>
      </w:r>
      <w:r w:rsidR="00724E5A">
        <w:t xml:space="preserve">afford median house prices, </w:t>
      </w:r>
      <w:r w:rsidR="0032577C">
        <w:t>which require</w:t>
      </w:r>
      <w:r w:rsidR="00724E5A">
        <w:t xml:space="preserve"> an income 18% below the current average.</w:t>
      </w:r>
      <w:r w:rsidR="008F2900">
        <w:t xml:space="preserve"> </w:t>
      </w:r>
      <w:r w:rsidR="008F2900" w:rsidRPr="000D6FC2">
        <w:t xml:space="preserve">Median house prices are also affordable to households made up of two lower </w:t>
      </w:r>
      <w:r w:rsidR="0090318B">
        <w:t xml:space="preserve">quartile </w:t>
      </w:r>
      <w:r w:rsidR="008F2900" w:rsidRPr="000D6FC2">
        <w:t>earners.</w:t>
      </w:r>
      <w:r w:rsidR="00724E5A" w:rsidRPr="000D6FC2">
        <w:t xml:space="preserve"> </w:t>
      </w:r>
      <w:r w:rsidR="000D6FC2">
        <w:t>It should be noted that t</w:t>
      </w:r>
      <w:r w:rsidR="00D10AE2" w:rsidRPr="000D6FC2">
        <w:t xml:space="preserve">his median price </w:t>
      </w:r>
      <w:r w:rsidR="00727A35" w:rsidRPr="000D6FC2">
        <w:t xml:space="preserve">is heavily influenced by the sale of flats and terraced dwellings, which </w:t>
      </w:r>
      <w:r w:rsidR="000D20E8" w:rsidRPr="000D6FC2">
        <w:t>T</w:t>
      </w:r>
      <w:r w:rsidR="001A29A2" w:rsidRPr="000D6FC2">
        <w:t xml:space="preserve">able </w:t>
      </w:r>
      <w:r w:rsidR="000D20E8" w:rsidRPr="000D6FC2">
        <w:t xml:space="preserve">4-3 indicates </w:t>
      </w:r>
      <w:r w:rsidR="00727A35" w:rsidRPr="000D6FC2">
        <w:t xml:space="preserve">are </w:t>
      </w:r>
      <w:r w:rsidR="00AC3D38" w:rsidRPr="000D6FC2">
        <w:t>much less expensive</w:t>
      </w:r>
      <w:r w:rsidR="000D20E8" w:rsidRPr="000D6FC2">
        <w:t xml:space="preserve"> than other housing types.</w:t>
      </w:r>
      <w:r w:rsidR="000D20E8">
        <w:t xml:space="preserve"> </w:t>
      </w:r>
    </w:p>
    <w:p w14:paraId="68047EC1" w14:textId="77777777" w:rsidR="0090318B" w:rsidRDefault="005C2F28" w:rsidP="00366B69">
      <w:pPr>
        <w:pStyle w:val="Numberedtext"/>
        <w:jc w:val="both"/>
      </w:pPr>
      <w:r>
        <w:t>New</w:t>
      </w:r>
      <w:r w:rsidR="00CE7833">
        <w:t xml:space="preserve"> build prices appear to be much more expensive, </w:t>
      </w:r>
      <w:r w:rsidR="00723BC6">
        <w:t>requiring an income 18% higher than the current avera</w:t>
      </w:r>
      <w:r w:rsidR="008F2900">
        <w:t xml:space="preserve">ge. </w:t>
      </w:r>
      <w:r w:rsidR="005857EA">
        <w:t xml:space="preserve">When looking at the data for 2023, </w:t>
      </w:r>
      <w:proofErr w:type="gramStart"/>
      <w:r w:rsidR="005857EA">
        <w:t>it would appear that a</w:t>
      </w:r>
      <w:proofErr w:type="gramEnd"/>
      <w:r w:rsidR="005857EA">
        <w:t xml:space="preserve"> majority of new homes delivered in the NA </w:t>
      </w:r>
      <w:r w:rsidR="00B910B7">
        <w:t xml:space="preserve">were either detached or semi-detached dwellings. </w:t>
      </w:r>
    </w:p>
    <w:p w14:paraId="70C7675C" w14:textId="51E2E049" w:rsidR="007F39F1" w:rsidRDefault="00B910B7" w:rsidP="00366B69">
      <w:pPr>
        <w:pStyle w:val="Numberedtext"/>
        <w:jc w:val="both"/>
      </w:pPr>
      <w:r>
        <w:t xml:space="preserve">Although, </w:t>
      </w:r>
      <w:r w:rsidR="00834BAD">
        <w:t xml:space="preserve">there are relatively affordable home ownership options in the NA, </w:t>
      </w:r>
      <w:r w:rsidR="00560AEB">
        <w:t>there may be other barriers to homeownership</w:t>
      </w:r>
      <w:r w:rsidR="00837E2A">
        <w:t xml:space="preserve">. Access to a deposit </w:t>
      </w:r>
      <w:r w:rsidR="000F668D">
        <w:t xml:space="preserve">is likely to be the key barrier for some </w:t>
      </w:r>
      <w:r w:rsidR="00366B69">
        <w:t>lower earning households</w:t>
      </w:r>
      <w:r w:rsidR="00685694">
        <w:t xml:space="preserve"> who may struggle to save whilst paying private rents. </w:t>
      </w:r>
      <w:r w:rsidR="00CC50D8">
        <w:t xml:space="preserve">Cheaper </w:t>
      </w:r>
      <w:r w:rsidR="0082016F">
        <w:t xml:space="preserve">homes </w:t>
      </w:r>
      <w:r w:rsidR="00CC50D8">
        <w:t>on the market (particularly flats and smaller terrace) may be un</w:t>
      </w:r>
      <w:r w:rsidR="0082016F">
        <w:t xml:space="preserve">suitable for </w:t>
      </w:r>
      <w:r w:rsidR="00CC50D8">
        <w:t xml:space="preserve">some households, including </w:t>
      </w:r>
      <w:r w:rsidR="009F4FCB">
        <w:t xml:space="preserve">families with children looking to buy. </w:t>
      </w:r>
      <w:r w:rsidR="00366B69">
        <w:t xml:space="preserve"> </w:t>
      </w:r>
      <w:r w:rsidR="004F6CC0">
        <w:t>When th</w:t>
      </w:r>
      <w:r w:rsidR="00366B69">
        <w:t>ese</w:t>
      </w:r>
      <w:r w:rsidR="004F6CC0">
        <w:t xml:space="preserve"> dynamic</w:t>
      </w:r>
      <w:r w:rsidR="00366B69">
        <w:t>s</w:t>
      </w:r>
      <w:r w:rsidR="004F6CC0">
        <w:t xml:space="preserve"> </w:t>
      </w:r>
      <w:r w:rsidR="00366B69">
        <w:t>are</w:t>
      </w:r>
      <w:r w:rsidR="004F6CC0">
        <w:t xml:space="preserve"> considered alongside </w:t>
      </w:r>
      <w:r w:rsidR="009325F5">
        <w:t>the high</w:t>
      </w:r>
      <w:r w:rsidR="009F4FCB">
        <w:t>er</w:t>
      </w:r>
      <w:r w:rsidR="009325F5">
        <w:t xml:space="preserve"> cost of new build</w:t>
      </w:r>
      <w:r w:rsidR="00CE7833">
        <w:t xml:space="preserve"> </w:t>
      </w:r>
      <w:r w:rsidR="00FB33CF">
        <w:t xml:space="preserve">homes, the affordability picture in the NA may be more complicated </w:t>
      </w:r>
      <w:r w:rsidR="00872DAF">
        <w:t>than suggested by Table 4-4.</w:t>
      </w:r>
    </w:p>
    <w:bookmarkEnd w:id="98"/>
    <w:p w14:paraId="4A4E7AAA" w14:textId="7CA26687" w:rsidR="0020377F" w:rsidRDefault="00B95B98" w:rsidP="00BA102E">
      <w:pPr>
        <w:pStyle w:val="Numberedtext"/>
        <w:jc w:val="both"/>
      </w:pPr>
      <w:r>
        <w:t>Moreover, t</w:t>
      </w:r>
      <w:r w:rsidR="00653A16">
        <w:t xml:space="preserve">he private rental sector appears to be slightly more expensive </w:t>
      </w:r>
      <w:r w:rsidR="00A5183B">
        <w:t>home ownership, with households made up of two lower earners unable to afford average market rents.</w:t>
      </w:r>
      <w:r w:rsidR="009B26B8">
        <w:t xml:space="preserve"> However,</w:t>
      </w:r>
      <w:r w:rsidR="00A5183B">
        <w:t xml:space="preserve"> </w:t>
      </w:r>
      <w:r w:rsidR="009B26B8">
        <w:t>t</w:t>
      </w:r>
      <w:r w:rsidR="00A5183B">
        <w:t>h</w:t>
      </w:r>
      <w:r w:rsidR="00307156">
        <w:t>is group</w:t>
      </w:r>
      <w:r w:rsidR="00763F86">
        <w:t xml:space="preserve"> (2x LQ </w:t>
      </w:r>
      <w:r w:rsidR="009F4FCB">
        <w:t>earners</w:t>
      </w:r>
      <w:r w:rsidR="00763F86">
        <w:t>)</w:t>
      </w:r>
      <w:r w:rsidR="00307156">
        <w:t xml:space="preserve"> would be able to afford entry level rents.</w:t>
      </w:r>
      <w:r w:rsidR="000779A2">
        <w:t xml:space="preserve"> These</w:t>
      </w:r>
      <w:r w:rsidR="0020377F">
        <w:t xml:space="preserve"> lower income</w:t>
      </w:r>
      <w:r w:rsidR="000779A2">
        <w:t xml:space="preserve"> households may be supported by Housing Benefit</w:t>
      </w:r>
      <w:r w:rsidR="00307156">
        <w:t xml:space="preserve"> </w:t>
      </w:r>
      <w:r w:rsidR="0020377F">
        <w:t xml:space="preserve">to access the private rented sector. </w:t>
      </w:r>
    </w:p>
    <w:p w14:paraId="01BA4C4C" w14:textId="2F070129" w:rsidR="002F12B2" w:rsidRDefault="00656CA5" w:rsidP="00BA102E">
      <w:pPr>
        <w:pStyle w:val="Numberedtext"/>
        <w:jc w:val="both"/>
      </w:pPr>
      <w:r>
        <w:t xml:space="preserve">It is worth highlighting </w:t>
      </w:r>
      <w:r w:rsidR="00D33442">
        <w:t xml:space="preserve">that Table 4-2 </w:t>
      </w:r>
      <w:r w:rsidR="00974004">
        <w:t>found significant growth in the number of private renters in Consett</w:t>
      </w:r>
      <w:r w:rsidR="00841D75">
        <w:t>.</w:t>
      </w:r>
      <w:r w:rsidR="00A34C6A">
        <w:t xml:space="preserve"> </w:t>
      </w:r>
      <w:r w:rsidR="00841D75">
        <w:t>When</w:t>
      </w:r>
      <w:r w:rsidR="00394BA5">
        <w:t xml:space="preserve"> </w:t>
      </w:r>
      <w:r w:rsidR="00841D75">
        <w:t>this growth is considered alongside the higher cost of renting</w:t>
      </w:r>
      <w:r w:rsidR="002E6226">
        <w:t>,</w:t>
      </w:r>
      <w:r w:rsidR="00394BA5">
        <w:t xml:space="preserve"> it </w:t>
      </w:r>
      <w:r w:rsidR="004D5670">
        <w:t>could suggest</w:t>
      </w:r>
      <w:r w:rsidR="00A34C6A">
        <w:t xml:space="preserve"> </w:t>
      </w:r>
      <w:r w:rsidR="00BA102E">
        <w:t xml:space="preserve">that access to a deposit </w:t>
      </w:r>
      <w:r w:rsidR="00BD0B99">
        <w:t xml:space="preserve">is </w:t>
      </w:r>
      <w:r w:rsidR="00BA102E">
        <w:t>a significant barrier to home ownership</w:t>
      </w:r>
      <w:r w:rsidR="00BD0B99">
        <w:t xml:space="preserve"> in Consett</w:t>
      </w:r>
      <w:r w:rsidR="00BA102E">
        <w:t xml:space="preserve">. </w:t>
      </w:r>
      <w:r w:rsidR="00625336">
        <w:t>It may also reflect growth of private renters supported by Housing Benefit.</w:t>
      </w:r>
    </w:p>
    <w:p w14:paraId="0696C4B9" w14:textId="77777777" w:rsidR="008129C3" w:rsidRPr="00764F1A" w:rsidRDefault="008129C3" w:rsidP="00252C91">
      <w:pPr>
        <w:pStyle w:val="Heading4"/>
        <w:jc w:val="both"/>
        <w:rPr>
          <w:color w:val="auto"/>
        </w:rPr>
      </w:pPr>
      <w:bookmarkStart w:id="100" w:name="_Hlk69401294"/>
      <w:bookmarkEnd w:id="99"/>
      <w:r w:rsidRPr="00764F1A">
        <w:rPr>
          <w:color w:val="auto"/>
        </w:rPr>
        <w:t>Affordable home ownership</w:t>
      </w:r>
    </w:p>
    <w:p w14:paraId="3019EE2D" w14:textId="747C6DB0" w:rsidR="00290C33" w:rsidRDefault="00785A62" w:rsidP="00207ECA">
      <w:pPr>
        <w:pStyle w:val="Numberedtext"/>
        <w:jc w:val="both"/>
      </w:pPr>
      <w:bookmarkStart w:id="101" w:name="_Hlk71040508"/>
      <w:bookmarkEnd w:id="100"/>
      <w:r>
        <w:t xml:space="preserve">Given that the income required to buy and rent in Consett is broadly the same, it is difficult to identify a clear group of households </w:t>
      </w:r>
      <w:r w:rsidR="00207ECA">
        <w:t xml:space="preserve">who ‘can rent; can’t buy’ and may benefit from </w:t>
      </w:r>
      <w:bookmarkStart w:id="102" w:name="_Hlk69401341"/>
      <w:r w:rsidR="008129C3" w:rsidRPr="002D2885">
        <w:t xml:space="preserve">the range of affordable home ownership products such as First Homes </w:t>
      </w:r>
      <w:r w:rsidR="008129C3" w:rsidRPr="002D2885">
        <w:lastRenderedPageBreak/>
        <w:t>and shared ownership.</w:t>
      </w:r>
      <w:bookmarkEnd w:id="101"/>
      <w:bookmarkEnd w:id="102"/>
      <w:r w:rsidR="00207ECA">
        <w:t xml:space="preserve"> </w:t>
      </w:r>
      <w:r w:rsidR="00CA7FC9">
        <w:t xml:space="preserve">Nevertheless, it is useful to consider what these products are and whether there is a role for them in Consett. </w:t>
      </w:r>
    </w:p>
    <w:p w14:paraId="50CA0956" w14:textId="1F37ED38" w:rsidR="00E16665" w:rsidRPr="008D77D6" w:rsidRDefault="00E16665" w:rsidP="00E16665">
      <w:pPr>
        <w:pStyle w:val="Numberedtext"/>
        <w:jc w:val="both"/>
      </w:pPr>
      <w:r w:rsidRPr="008D77D6">
        <w:t xml:space="preserve">Discounted Market Sale homes are offered at a discount at least 20% on market prices. First Homes are offered at a discount of at least 30% on market prices (i.e. new build, entry-level properties). </w:t>
      </w:r>
      <w:r w:rsidRPr="008D77D6">
        <w:rPr>
          <w:szCs w:val="28"/>
        </w:rPr>
        <w:t xml:space="preserve">Local authorities and neighbourhood plan qualifying bodies have discretion to increase the discount on First Homes to 40% or 50% where there is evidence to suggest this is appropriate. </w:t>
      </w:r>
    </w:p>
    <w:p w14:paraId="514A6C03" w14:textId="07F6A8ED" w:rsidR="00B76853" w:rsidRDefault="009E53FC" w:rsidP="00252C91">
      <w:pPr>
        <w:pStyle w:val="Numberedtext"/>
        <w:jc w:val="both"/>
      </w:pPr>
      <w:r w:rsidRPr="008D77D6">
        <w:t xml:space="preserve">This report has estimated the income required to afford discounts of 20-50% to cover the range of discounts likely to be available on these different products. </w:t>
      </w:r>
      <w:r w:rsidR="00271826" w:rsidRPr="00C60545">
        <w:t>However</w:t>
      </w:r>
      <w:r w:rsidR="00271826">
        <w:t xml:space="preserve">, these households are already able to buy on the open market </w:t>
      </w:r>
      <w:proofErr w:type="gramStart"/>
      <w:r w:rsidR="00271826">
        <w:t>on the basis of</w:t>
      </w:r>
      <w:proofErr w:type="gramEnd"/>
      <w:r w:rsidR="00271826">
        <w:t xml:space="preserve"> their incomes. </w:t>
      </w:r>
    </w:p>
    <w:p w14:paraId="18C9FCC6" w14:textId="0ED46F14" w:rsidR="00587F05" w:rsidRDefault="001657ED" w:rsidP="00252C91">
      <w:pPr>
        <w:pStyle w:val="Numberedtext"/>
        <w:jc w:val="both"/>
      </w:pPr>
      <w:r>
        <w:t xml:space="preserve">The </w:t>
      </w:r>
      <w:r w:rsidR="003D0983">
        <w:t>new build estimate</w:t>
      </w:r>
      <w:r w:rsidR="00C35869">
        <w:t xml:space="preserve"> </w:t>
      </w:r>
      <w:r w:rsidR="0088209B">
        <w:t>(</w:t>
      </w:r>
      <w:r w:rsidR="00C35869">
        <w:t xml:space="preserve">derived from an uplift being applied to median </w:t>
      </w:r>
      <w:r w:rsidR="0088209B">
        <w:t>sales of terraced dwelling)</w:t>
      </w:r>
      <w:r w:rsidR="003D0983">
        <w:t xml:space="preserve"> used in this analysis </w:t>
      </w:r>
      <w:r w:rsidR="00E97CED">
        <w:t xml:space="preserve">(£185,000) is a sensible </w:t>
      </w:r>
      <w:r w:rsidR="00906970">
        <w:t>starting point for estimating the cost of affordable new build homes</w:t>
      </w:r>
      <w:r w:rsidR="00740C42">
        <w:t xml:space="preserve"> (more detail found in Appendix C)</w:t>
      </w:r>
      <w:r>
        <w:t>.</w:t>
      </w:r>
      <w:r w:rsidR="00FC5BBD">
        <w:t xml:space="preserve"> </w:t>
      </w:r>
      <w:r>
        <w:t>However, if the supply of new build homes w</w:t>
      </w:r>
      <w:r w:rsidR="00C35869">
        <w:t>ere</w:t>
      </w:r>
      <w:r>
        <w:t xml:space="preserve"> pr</w:t>
      </w:r>
      <w:r w:rsidR="003D504B">
        <w:t>imarily detached or semi-detached homes (with an average cost of £</w:t>
      </w:r>
      <w:r w:rsidR="0096157E">
        <w:t xml:space="preserve">235,000), these homes would </w:t>
      </w:r>
      <w:r w:rsidR="0059538B">
        <w:t xml:space="preserve">present an affordability challenge to average </w:t>
      </w:r>
      <w:r w:rsidR="00145518">
        <w:t xml:space="preserve">income </w:t>
      </w:r>
      <w:r w:rsidR="0059538B">
        <w:t xml:space="preserve">households. </w:t>
      </w:r>
      <w:r w:rsidR="00145518">
        <w:t xml:space="preserve">If First Homes discounts were applied to these larger properties, they could </w:t>
      </w:r>
      <w:r w:rsidR="00B50BE7">
        <w:t xml:space="preserve">extend the range of homes that are affordable to average and lower income households, including larger family sized properties. </w:t>
      </w:r>
    </w:p>
    <w:p w14:paraId="5F278FD9" w14:textId="60A50475" w:rsidR="00290C33" w:rsidRPr="00290C33" w:rsidRDefault="00FA6726" w:rsidP="00252C91">
      <w:pPr>
        <w:pStyle w:val="Numberedtext"/>
        <w:jc w:val="both"/>
      </w:pPr>
      <w:r w:rsidRPr="00290C33">
        <w:t xml:space="preserve">It is important to note that evidence based on affordability does not provide a complete picture: evidence about the financial viability of development is also relevant. The question is whether discount levels on First Homes will create a financial burden on developers that leads them to argue either that the discount level is not feasible or that the total amount of Affordable Housing may need to be decreased. This could effectively sacrifice the provision of affordable rented housing to provide a more attractive First Homes product. The issue of development viability is a specialist matter involving analysis of land values and build costs that is outside the scope of this assessment. </w:t>
      </w:r>
      <w:r w:rsidR="00631FDD" w:rsidRPr="008972D7">
        <w:t xml:space="preserve">Appendix C of this report provides detail on the relationship between the </w:t>
      </w:r>
      <w:r w:rsidR="00631FDD">
        <w:t>average build costs across the UK and sale prices of discounted market housing.</w:t>
      </w:r>
      <w:r w:rsidR="004F6EF7">
        <w:t xml:space="preserve"> </w:t>
      </w:r>
      <w:r w:rsidR="00752675">
        <w:t xml:space="preserve">Given the relatively lower price of </w:t>
      </w:r>
      <w:r w:rsidR="006B47FA">
        <w:t xml:space="preserve">market housing in Consett, </w:t>
      </w:r>
      <w:r w:rsidR="00B77977">
        <w:t>viability of discounts on First Homes and other products may be an issue here.</w:t>
      </w:r>
      <w:r w:rsidR="00631FDD">
        <w:t xml:space="preserve"> </w:t>
      </w:r>
      <w:r w:rsidRPr="00290C33">
        <w:t xml:space="preserve">If the </w:t>
      </w:r>
      <w:r w:rsidR="00EF54A3">
        <w:t>Consett Neighbourhood Plan Forum</w:t>
      </w:r>
      <w:r w:rsidRPr="00290C33">
        <w:t xml:space="preserve"> intend to set a higher First Homes discount level than that set at </w:t>
      </w:r>
      <w:r w:rsidR="00EF54A3">
        <w:t>County</w:t>
      </w:r>
      <w:r w:rsidRPr="00290C33">
        <w:t xml:space="preserve"> level, further discussions with the LPA are advised. </w:t>
      </w:r>
    </w:p>
    <w:p w14:paraId="18A246BD" w14:textId="338A61CE" w:rsidR="00290C33" w:rsidRPr="00290C33" w:rsidRDefault="008129C3" w:rsidP="00252C91">
      <w:pPr>
        <w:pStyle w:val="Numberedtext"/>
        <w:jc w:val="both"/>
      </w:pPr>
      <w:r w:rsidRPr="00290C33">
        <w:t xml:space="preserve">Shared ownership appears to be </w:t>
      </w:r>
      <w:r w:rsidR="00DB57E1">
        <w:t>slightly more</w:t>
      </w:r>
      <w:r w:rsidRPr="00290C33">
        <w:t xml:space="preserve"> affordable than First Homes</w:t>
      </w:r>
      <w:r w:rsidR="00C05011" w:rsidRPr="00290C33">
        <w:t>.</w:t>
      </w:r>
      <w:r w:rsidR="0058031B">
        <w:t xml:space="preserve"> Also, it is worth noting that if access to a large deposit was a challenge for </w:t>
      </w:r>
      <w:r w:rsidR="00EB758D">
        <w:t xml:space="preserve">some households in </w:t>
      </w:r>
      <w:r w:rsidR="0058031B">
        <w:t>Con</w:t>
      </w:r>
      <w:r w:rsidR="00F0584A">
        <w:t xml:space="preserve">sett, shared ownership dwellings may </w:t>
      </w:r>
      <w:r w:rsidR="0023612A">
        <w:t xml:space="preserve">be </w:t>
      </w:r>
      <w:r w:rsidR="00F0584A">
        <w:t>a</w:t>
      </w:r>
      <w:r w:rsidR="0023612A">
        <w:t xml:space="preserve"> more</w:t>
      </w:r>
      <w:r w:rsidR="00F0584A">
        <w:t xml:space="preserve"> appropriate </w:t>
      </w:r>
      <w:r w:rsidR="00C46300">
        <w:t>product given the smaller deposits required</w:t>
      </w:r>
      <w:r w:rsidR="00F0584A">
        <w:t xml:space="preserve">. </w:t>
      </w:r>
      <w:r w:rsidR="002D0A4D">
        <w:t xml:space="preserve">Prospective shared owners could in theory access homes at a </w:t>
      </w:r>
      <w:r w:rsidR="009F3A86">
        <w:t xml:space="preserve">lower </w:t>
      </w:r>
      <w:r w:rsidR="002D0A4D">
        <w:t xml:space="preserve">equity share arrangement (e.g. </w:t>
      </w:r>
      <w:r w:rsidR="009F3A86">
        <w:t>25</w:t>
      </w:r>
      <w:r w:rsidR="002D0A4D">
        <w:t>%) with a much smaller deposit than would be require</w:t>
      </w:r>
      <w:r w:rsidR="002F740C">
        <w:t>d</w:t>
      </w:r>
      <w:r w:rsidR="002D0A4D">
        <w:t xml:space="preserve"> for either First Homes or </w:t>
      </w:r>
      <w:r w:rsidR="00BE2F92">
        <w:t>average</w:t>
      </w:r>
      <w:r w:rsidR="002D0A4D">
        <w:t xml:space="preserve"> market sale homes.</w:t>
      </w:r>
      <w:r w:rsidRPr="00290C33">
        <w:t xml:space="preserve"> Government has recently announced that the minimum equity share for shared ownership will fall </w:t>
      </w:r>
      <w:r w:rsidRPr="00290C33">
        <w:lastRenderedPageBreak/>
        <w:t>to 10% of the property value.</w:t>
      </w:r>
      <w:r>
        <w:rPr>
          <w:rStyle w:val="FootnoteReference"/>
          <w:szCs w:val="24"/>
        </w:rPr>
        <w:footnoteReference w:id="8"/>
      </w:r>
      <w:r w:rsidRPr="00290C33">
        <w:t xml:space="preserve"> If this is delivered in the NA, it will make shared ownership easier to access for more people. However, while the income threshold for a 10% equity shared ownership home is lower, this product may not necessarily be more attractive than the alternatives (such as shared ownership at higher equity shares and First Homes) for those who can afford them</w:t>
      </w:r>
      <w:bookmarkStart w:id="103" w:name="_Hlk118456477"/>
      <w:r w:rsidR="00290C33">
        <w:t>.</w:t>
      </w:r>
    </w:p>
    <w:p w14:paraId="26EDE220" w14:textId="26D95CE6" w:rsidR="00290C33" w:rsidRPr="00290C33" w:rsidRDefault="005D1C83" w:rsidP="00252C91">
      <w:pPr>
        <w:pStyle w:val="Numberedtext"/>
        <w:jc w:val="both"/>
      </w:pPr>
      <w:r w:rsidRPr="00290C33">
        <w:t xml:space="preserve">Rent to Buy provides households with the option to rent at a discount whilst saving for a deposit to buy their property within a set period (usually within 7 years). The income required to access Rent to Buy is assumed to be the same as that required to afford market rents. However, affordability to local households would depend on how rents are set. If Rent to Buy is offered at a discount to </w:t>
      </w:r>
      <w:r w:rsidRPr="00290C33">
        <w:rPr>
          <w:i/>
          <w:iCs/>
        </w:rPr>
        <w:t>entry</w:t>
      </w:r>
      <w:r w:rsidRPr="00290C33">
        <w:t xml:space="preserve"> </w:t>
      </w:r>
      <w:r w:rsidRPr="00290C33">
        <w:rPr>
          <w:i/>
          <w:iCs/>
        </w:rPr>
        <w:t>level</w:t>
      </w:r>
      <w:r w:rsidRPr="00290C33">
        <w:t xml:space="preserve"> rents, this would expand this route to home ownership quite significantly</w:t>
      </w:r>
      <w:r w:rsidR="00B030FF">
        <w:t>.</w:t>
      </w:r>
      <w:r w:rsidRPr="00290C33">
        <w:t xml:space="preserve"> However, discounts on </w:t>
      </w:r>
      <w:r w:rsidRPr="00290C33">
        <w:rPr>
          <w:i/>
          <w:iCs/>
        </w:rPr>
        <w:t>average</w:t>
      </w:r>
      <w:r w:rsidRPr="00290C33">
        <w:t xml:space="preserve"> rents would make Rent to Buy affordability, in terms of the household income required, comparable to First Homes and Shared Ownership</w:t>
      </w:r>
      <w:r w:rsidR="006F1D9B">
        <w:t xml:space="preserve">. </w:t>
      </w:r>
      <w:r w:rsidRPr="00290C33">
        <w:t>However, for some households, the availability of a deposit rather than income level per se is the key barrier to accessing home ownership. Rent to Buy may therefore offer a useful product to meet the needs of some house</w:t>
      </w:r>
      <w:bookmarkEnd w:id="103"/>
      <w:r w:rsidRPr="00290C33">
        <w:t xml:space="preserve">holds. </w:t>
      </w:r>
    </w:p>
    <w:p w14:paraId="4E0476CD" w14:textId="18A9033C" w:rsidR="008129C3" w:rsidRPr="00290C33" w:rsidRDefault="008129C3" w:rsidP="00252C91">
      <w:pPr>
        <w:pStyle w:val="Numberedtext"/>
        <w:jc w:val="both"/>
      </w:pPr>
      <w:r w:rsidRPr="00290C33">
        <w:t xml:space="preserve">These three </w:t>
      </w:r>
      <w:r w:rsidR="00ED68EC" w:rsidRPr="00290C33">
        <w:t xml:space="preserve">affordable home ownership </w:t>
      </w:r>
      <w:r w:rsidRPr="00290C33">
        <w:t>products need to be considered in relation to what they offer occupants in the long term beyond simply being affordable to access or not</w:t>
      </w:r>
      <w:r w:rsidR="005D1C83" w:rsidRPr="00290C33">
        <w:t>:</w:t>
      </w:r>
    </w:p>
    <w:p w14:paraId="1C4E6C45" w14:textId="77777777" w:rsidR="008129C3" w:rsidRDefault="008129C3" w:rsidP="00252C91">
      <w:pPr>
        <w:pStyle w:val="ListBullet"/>
        <w:jc w:val="both"/>
      </w:pPr>
      <w:r w:rsidRPr="00536B5B">
        <w:t xml:space="preserve">First Homes allow for </w:t>
      </w:r>
      <w:r>
        <w:t>a greater ownership stake in the property, enabling occupiers to benefit from price appreciation over time. Monthly outgoings are also limited to mortgage costs alone, which tend to be cheaper than renting.</w:t>
      </w:r>
    </w:p>
    <w:p w14:paraId="079C45B9" w14:textId="77777777" w:rsidR="008129C3" w:rsidRDefault="008129C3" w:rsidP="00252C91">
      <w:pPr>
        <w:pStyle w:val="ListBullet"/>
        <w:jc w:val="both"/>
      </w:pPr>
      <w:r>
        <w:t>S</w:t>
      </w:r>
      <w:r w:rsidRPr="00536B5B">
        <w:t xml:space="preserve">hared ownership at </w:t>
      </w:r>
      <w:r>
        <w:t xml:space="preserve">high equity shares performs a similar function to First Homes, but there are additional costs associated with the rented portion. </w:t>
      </w:r>
    </w:p>
    <w:p w14:paraId="112B7598" w14:textId="77777777" w:rsidR="008129C3" w:rsidRDefault="008129C3" w:rsidP="00252C91">
      <w:pPr>
        <w:pStyle w:val="ListBullet"/>
        <w:jc w:val="both"/>
      </w:pPr>
      <w:r>
        <w:t xml:space="preserve">Shared ownership at </w:t>
      </w:r>
      <w:r w:rsidRPr="00536B5B">
        <w:t xml:space="preserve">low equity shares </w:t>
      </w:r>
      <w:r>
        <w:t xml:space="preserve">can usually be accessed by lower earning households (than First Homes) and requires a smaller deposit. However, this is a potentially less attractive route to eventual ownership because </w:t>
      </w:r>
      <w:r w:rsidRPr="00536B5B">
        <w:t>monthly outgoings remain high</w:t>
      </w:r>
      <w:r>
        <w:t xml:space="preserve">. The occupant </w:t>
      </w:r>
      <w:proofErr w:type="gramStart"/>
      <w:r>
        <w:t>has to</w:t>
      </w:r>
      <w:proofErr w:type="gramEnd"/>
      <w:r>
        <w:t xml:space="preserve"> pay a significant monthly rent as well as service charges and other costs, so it can be harder for them to save funds to buy out a greater share in the property over time. </w:t>
      </w:r>
    </w:p>
    <w:p w14:paraId="208D669D" w14:textId="44A764AD" w:rsidR="00BE2F92" w:rsidRPr="00764F1A" w:rsidRDefault="008129C3" w:rsidP="00434C10">
      <w:pPr>
        <w:pStyle w:val="ListBullet"/>
        <w:jc w:val="both"/>
      </w:pPr>
      <w:r>
        <w:t>R</w:t>
      </w:r>
      <w:r w:rsidRPr="00536B5B">
        <w:t xml:space="preserve">ent to </w:t>
      </w:r>
      <w:r w:rsidR="00A77342" w:rsidRPr="00764F1A">
        <w:t>B</w:t>
      </w:r>
      <w:r w:rsidRPr="00764F1A">
        <w:t xml:space="preserve">uy requires no deposit, thereby benefitting those with sufficient incomes but low savings. It is more attractive than renting but results in a much slower accumulation of the funds that can provide an eventual route to ownership than the other tenures discussed above. </w:t>
      </w:r>
    </w:p>
    <w:p w14:paraId="0D42921F" w14:textId="6F460194" w:rsidR="008129C3" w:rsidRPr="00764F1A" w:rsidRDefault="003B3C47" w:rsidP="00252C91">
      <w:pPr>
        <w:pStyle w:val="Heading4"/>
        <w:jc w:val="both"/>
        <w:rPr>
          <w:color w:val="auto"/>
          <w:lang w:val="en-US"/>
        </w:rPr>
      </w:pPr>
      <w:r w:rsidRPr="00764F1A">
        <w:rPr>
          <w:color w:val="auto"/>
          <w:lang w:val="en-US"/>
        </w:rPr>
        <w:t>A</w:t>
      </w:r>
      <w:r w:rsidR="008129C3" w:rsidRPr="00764F1A">
        <w:rPr>
          <w:color w:val="auto"/>
          <w:lang w:val="en-US"/>
        </w:rPr>
        <w:t>ffordable rented housing</w:t>
      </w:r>
    </w:p>
    <w:p w14:paraId="607F362C" w14:textId="29A9BFAA" w:rsidR="00290C33" w:rsidRPr="002E5760" w:rsidRDefault="005D1C83" w:rsidP="00252C91">
      <w:pPr>
        <w:pStyle w:val="Numberedtext"/>
        <w:jc w:val="both"/>
      </w:pPr>
      <w:bookmarkStart w:id="104" w:name="_Hlk71040796"/>
      <w:r w:rsidRPr="002E5760">
        <w:t xml:space="preserve">Affordable rents set out in the table above are substantially below market rents. Whilst </w:t>
      </w:r>
      <w:r w:rsidR="00FA6726" w:rsidRPr="002E5760">
        <w:t>a</w:t>
      </w:r>
      <w:r w:rsidRPr="002E5760">
        <w:t xml:space="preserve">ffordable </w:t>
      </w:r>
      <w:r w:rsidR="00FA6726" w:rsidRPr="002E5760">
        <w:t>r</w:t>
      </w:r>
      <w:r w:rsidRPr="002E5760">
        <w:t>ents can be set at up to 80% of market rents, in many locations Registered Providers (housing associations) set them to ensure that they are affordable to those claiming housing benefit</w:t>
      </w:r>
      <w:r w:rsidR="00FA6726" w:rsidRPr="002E5760">
        <w:t>,</w:t>
      </w:r>
      <w:r w:rsidRPr="002E5760">
        <w:t xml:space="preserve"> i</w:t>
      </w:r>
      <w:r w:rsidR="00FA6726" w:rsidRPr="002E5760">
        <w:t>.</w:t>
      </w:r>
      <w:r w:rsidRPr="002E5760">
        <w:t>e</w:t>
      </w:r>
      <w:r w:rsidR="00FA6726" w:rsidRPr="002E5760">
        <w:t>.</w:t>
      </w:r>
      <w:r w:rsidRPr="002E5760">
        <w:t xml:space="preserve"> at or below Local Housing Allowance levels. This means </w:t>
      </w:r>
      <w:r w:rsidRPr="002E5760">
        <w:lastRenderedPageBreak/>
        <w:t xml:space="preserve">that they are in practice below 80% of market levels. This appears to be the case in </w:t>
      </w:r>
      <w:r w:rsidR="00D143F2" w:rsidRPr="002E5760">
        <w:t>Consett</w:t>
      </w:r>
      <w:r w:rsidR="00D21E16" w:rsidRPr="002E5760">
        <w:t xml:space="preserve">, where affordable rents are approximately 60% </w:t>
      </w:r>
      <w:r w:rsidR="004E57C5" w:rsidRPr="002E5760">
        <w:t>o</w:t>
      </w:r>
      <w:r w:rsidR="00D21E16" w:rsidRPr="002E5760">
        <w:t xml:space="preserve">f entry level market rents. </w:t>
      </w:r>
      <w:r w:rsidRPr="002E5760">
        <w:t xml:space="preserve"> </w:t>
      </w:r>
    </w:p>
    <w:p w14:paraId="66D107C8" w14:textId="45063965" w:rsidR="00824963" w:rsidRDefault="004E57C5" w:rsidP="00334088">
      <w:pPr>
        <w:pStyle w:val="Numberedtext"/>
        <w:jc w:val="both"/>
      </w:pPr>
      <w:r w:rsidRPr="002E5760">
        <w:t>Both social and affordable rental housing is generally affordable to household</w:t>
      </w:r>
      <w:r w:rsidR="00BC23BB">
        <w:t>s</w:t>
      </w:r>
      <w:r w:rsidRPr="002E5760">
        <w:t xml:space="preserve"> with one lower </w:t>
      </w:r>
      <w:r w:rsidR="002E5760" w:rsidRPr="002E5760">
        <w:t>earner as well as other households, depending on their household size</w:t>
      </w:r>
      <w:r w:rsidR="00BC23BB">
        <w:t xml:space="preserve"> and the size of home they need</w:t>
      </w:r>
      <w:r w:rsidR="002E5760" w:rsidRPr="002E5760">
        <w:t xml:space="preserve">. </w:t>
      </w:r>
      <w:r w:rsidR="00334088">
        <w:t xml:space="preserve">It is likely that many households living in this sector are also supported by Housing Benefit. </w:t>
      </w:r>
    </w:p>
    <w:p w14:paraId="5F6618A1" w14:textId="77777777" w:rsidR="000F0AE1" w:rsidRPr="00434C10" w:rsidRDefault="000F0AE1" w:rsidP="000F0AE1">
      <w:pPr>
        <w:pStyle w:val="Numberedtext"/>
        <w:jc w:val="both"/>
      </w:pPr>
      <w:bookmarkStart w:id="105" w:name="_Hlk185077688"/>
      <w:r w:rsidRPr="00434C10">
        <w:t>The NPPF 2024 makes explicit reference of the need to set out the proportion of Social Rented homes needed as part of the Affordable Housing to be delivered in a local authority area (paragraph 64, NPPF)</w:t>
      </w:r>
      <w:r w:rsidRPr="00434C10">
        <w:rPr>
          <w:rStyle w:val="FootnoteReference"/>
        </w:rPr>
        <w:footnoteReference w:id="9"/>
      </w:r>
      <w:r w:rsidRPr="00434C10">
        <w:t xml:space="preserve">. </w:t>
      </w:r>
    </w:p>
    <w:p w14:paraId="6ACBB060" w14:textId="77777777" w:rsidR="000F0AE1" w:rsidRPr="00434C10" w:rsidRDefault="000F0AE1" w:rsidP="000F0AE1">
      <w:pPr>
        <w:pStyle w:val="Numberedtext"/>
        <w:jc w:val="both"/>
      </w:pPr>
      <w:r w:rsidRPr="00434C10">
        <w:t xml:space="preserve">Social Rents are cheaper than Affordable Rents and, in theory, would leave households on lower earnings better off and better able to afford their other living costs, such as food and fuel etc. This is particularly the case for households who are supported by Housing Benefit and subject to the overall benefit cap since their benefit income is limited by the cap and they may not be able to claim enough to cover the Affordable Rent. </w:t>
      </w:r>
    </w:p>
    <w:p w14:paraId="233A558D" w14:textId="77777777" w:rsidR="000F0AE1" w:rsidRPr="00434C10" w:rsidRDefault="000F0AE1" w:rsidP="000F0AE1">
      <w:pPr>
        <w:pStyle w:val="Numberedtext"/>
        <w:jc w:val="both"/>
      </w:pPr>
      <w:r w:rsidRPr="00434C10">
        <w:t xml:space="preserve">Where households are supported by housing benefit and not affected by benefit caps, the difference in the cost of Affordable and Social rents may be irrelevant as the level of housing benefit flexes according to the rent. This means that these households may be no better off in social rented accommodation because they receive a lower rate of housing benefit to cover their rent. </w:t>
      </w:r>
    </w:p>
    <w:p w14:paraId="0FF0D3AC" w14:textId="77777777" w:rsidR="000F0AE1" w:rsidRPr="00434C10" w:rsidRDefault="000F0AE1" w:rsidP="000F0AE1">
      <w:pPr>
        <w:pStyle w:val="Numberedtext"/>
        <w:jc w:val="both"/>
      </w:pPr>
      <w:r w:rsidRPr="00434C10">
        <w:t>Households who are not supported by benefits, for example those whose earnings are higher and making them ineligible for benefits, would clearly benefit by the lower Social Rent levels because it would reduce their outgoings. However, these households are less likely to be in acute need on housing waiting lists. Rather, this scenario might apply to those already living in Social Rented housing where their financial circumstances have improved.</w:t>
      </w:r>
    </w:p>
    <w:p w14:paraId="7328A91F" w14:textId="255FEA4D" w:rsidR="00710576" w:rsidRPr="000F0AE1" w:rsidRDefault="000F0AE1" w:rsidP="000F0AE1">
      <w:pPr>
        <w:pStyle w:val="Numberedtext"/>
        <w:jc w:val="both"/>
      </w:pPr>
      <w:r w:rsidRPr="00434C10">
        <w:t xml:space="preserve">On balance, the relative need for Social Rented homes versus Affordable Rented homes is a complex area because of the interaction of benefits, rents and earnings. AECOM suggests that the local authority is best placed to assess what proportion of Affordable Housing should be provided as Social Rent, drawing on their waiting list data and more detailed evidence in LHNAs. If the neighbourhood group wishes to develop localized policy in this area, this will be best achieved through liaison with the LPA (and local housing officers) as well as local registered providers. </w:t>
      </w:r>
      <w:bookmarkEnd w:id="105"/>
    </w:p>
    <w:p w14:paraId="31CBD4F4" w14:textId="0ED3CC98" w:rsidR="003B3C47" w:rsidRPr="00764F1A" w:rsidRDefault="00334088" w:rsidP="00334088">
      <w:pPr>
        <w:pStyle w:val="Numberedtext"/>
        <w:jc w:val="both"/>
      </w:pPr>
      <w:bookmarkStart w:id="106" w:name="_Hlk69401643"/>
      <w:r>
        <w:t>T</w:t>
      </w:r>
      <w:r w:rsidR="008129C3" w:rsidRPr="002E5760">
        <w:t xml:space="preserve">he affordable rented sector performs a vital function in </w:t>
      </w:r>
      <w:r w:rsidR="00D143F2" w:rsidRPr="002E5760">
        <w:t>Consett</w:t>
      </w:r>
      <w:r w:rsidR="008129C3" w:rsidRPr="002E5760">
        <w:t xml:space="preserve"> as the only option for a large segment of those </w:t>
      </w:r>
      <w:r w:rsidR="002C55F6">
        <w:t>with acute</w:t>
      </w:r>
      <w:r w:rsidR="008129C3" w:rsidRPr="002E5760">
        <w:t xml:space="preserve"> need</w:t>
      </w:r>
      <w:r w:rsidR="002C55F6">
        <w:t>s and on the lowest incomes</w:t>
      </w:r>
      <w:r w:rsidR="008129C3" w:rsidRPr="002E5760">
        <w:t>. Social rents are cheaper and would therefore leave households on lower earnings better off and better able to afford their other living costs, such as food and fuel etc. Where households are supported by housing benefit the difference in the cost of affordable and social rents may be</w:t>
      </w:r>
      <w:r w:rsidR="008129C3" w:rsidRPr="00764F1A">
        <w:t xml:space="preserve"> irrelevant as the level of housing benefit flexes according to the rent. This mean</w:t>
      </w:r>
      <w:r w:rsidR="00215496" w:rsidRPr="00764F1A">
        <w:t>s</w:t>
      </w:r>
      <w:r w:rsidR="008129C3" w:rsidRPr="00764F1A">
        <w:t xml:space="preserve"> that households supported by housing benefit may be no better </w:t>
      </w:r>
      <w:r w:rsidR="008129C3" w:rsidRPr="00764F1A">
        <w:lastRenderedPageBreak/>
        <w:t xml:space="preserve">off in social rented accommodation because they receive a lower rate of housing benefit to cover their rent. </w:t>
      </w:r>
      <w:bookmarkStart w:id="107" w:name="_Hlk21428788"/>
    </w:p>
    <w:p w14:paraId="323F1A18" w14:textId="30D9E250" w:rsidR="003B3C47" w:rsidRPr="00764F1A" w:rsidRDefault="003B3C47" w:rsidP="00252C91">
      <w:pPr>
        <w:pStyle w:val="Heading2"/>
        <w:jc w:val="both"/>
        <w:rPr>
          <w:color w:val="auto"/>
        </w:rPr>
      </w:pPr>
      <w:r w:rsidRPr="00764F1A">
        <w:rPr>
          <w:color w:val="auto"/>
        </w:rPr>
        <w:t>Estimates of the need for Affordable Housing</w:t>
      </w:r>
    </w:p>
    <w:p w14:paraId="39D8D5DF" w14:textId="03D2455D" w:rsidR="003B3C47" w:rsidRDefault="003B3C47" w:rsidP="00252C91">
      <w:pPr>
        <w:pStyle w:val="Numberedtext"/>
        <w:jc w:val="both"/>
      </w:pPr>
      <w:r w:rsidRPr="00764F1A">
        <w:t xml:space="preserve">This section </w:t>
      </w:r>
      <w:r w:rsidR="00681388">
        <w:t>estimates the</w:t>
      </w:r>
      <w:r w:rsidRPr="00764F1A">
        <w:t xml:space="preserve"> need for Affordable Housing, which should be considered separately for affordable rented housing and affordable routes to ownership. The appropriate approach is taken </w:t>
      </w:r>
      <w:r w:rsidRPr="00993048">
        <w:t>based on the evidence available at Local Authority and NA scale.</w:t>
      </w:r>
    </w:p>
    <w:p w14:paraId="18F807B3" w14:textId="77777777" w:rsidR="00821B5B" w:rsidRPr="00EF54A3" w:rsidRDefault="00821B5B" w:rsidP="00821B5B">
      <w:pPr>
        <w:pStyle w:val="Numberedtext"/>
        <w:jc w:val="both"/>
      </w:pPr>
      <w:r w:rsidRPr="00EF54A3">
        <w:t>A SHMA was undertaken for County Durham in 2018. This study estimates the need for affordable housing in the County based on analysis of the Council’s housing waiting list and analysis of other data sets in line with Planning Practice Guidance at the time.</w:t>
      </w:r>
    </w:p>
    <w:p w14:paraId="7E4C24E8" w14:textId="77777777" w:rsidR="00821B5B" w:rsidRPr="006D62D2" w:rsidRDefault="00821B5B" w:rsidP="00821B5B">
      <w:pPr>
        <w:pStyle w:val="Numberedtext"/>
        <w:jc w:val="both"/>
      </w:pPr>
      <w:r w:rsidRPr="00764F1A">
        <w:t xml:space="preserve">The </w:t>
      </w:r>
      <w:r w:rsidRPr="006D62D2">
        <w:t xml:space="preserve">SHMA identifies the need for 836 additional affordable homes per annum across County Durham as a whole. This need is largely for social/affordable rent as it relates to households who live in unsuitable housing and who cannot afford to access market rents. A small proportion of these households may be able to afford shared ownership because in some cases it is more affordable than market rents, especially when available at a share of 25%. </w:t>
      </w:r>
    </w:p>
    <w:p w14:paraId="3F174A78" w14:textId="0E235BB7" w:rsidR="00821B5B" w:rsidRDefault="00821B5B" w:rsidP="00821B5B">
      <w:pPr>
        <w:pStyle w:val="Numberedtext"/>
        <w:jc w:val="both"/>
      </w:pPr>
      <w:r w:rsidRPr="006D62D2">
        <w:t>When the SHMA figures are pro-rated to Consett based on its fair share of the population (7.4% of the county’s</w:t>
      </w:r>
      <w:r>
        <w:t xml:space="preserve"> </w:t>
      </w:r>
      <w:r w:rsidRPr="00764F1A">
        <w:t>population</w:t>
      </w:r>
      <w:r>
        <w:t xml:space="preserve"> (2021 Census)),</w:t>
      </w:r>
      <w:r w:rsidRPr="00764F1A">
        <w:t xml:space="preserve"> this equates to </w:t>
      </w:r>
      <w:r>
        <w:t>61.9</w:t>
      </w:r>
      <w:r w:rsidRPr="00764F1A">
        <w:t xml:space="preserve"> homes per annum or </w:t>
      </w:r>
      <w:r>
        <w:t xml:space="preserve">990 </w:t>
      </w:r>
      <w:r w:rsidRPr="00764F1A">
        <w:t>homes over the Neighbourhood Plan period</w:t>
      </w:r>
      <w:r>
        <w:t xml:space="preserve"> (2024 – 2040). </w:t>
      </w:r>
    </w:p>
    <w:p w14:paraId="4A30D20A" w14:textId="39A1E7FC" w:rsidR="00821B5B" w:rsidRDefault="00821B5B" w:rsidP="00434C10">
      <w:pPr>
        <w:pStyle w:val="Numberedtext"/>
        <w:jc w:val="both"/>
      </w:pPr>
      <w:r>
        <w:t xml:space="preserve">The county Durham SHMA does not provide a breakdown in terms of the recommended split between social/affordable rental and affordable home ownership dwellings in Consett. As such, it can be assumed that </w:t>
      </w:r>
      <w:proofErr w:type="gramStart"/>
      <w:r>
        <w:t>a majority of</w:t>
      </w:r>
      <w:proofErr w:type="gramEnd"/>
      <w:r>
        <w:t xml:space="preserve"> the </w:t>
      </w:r>
      <w:proofErr w:type="gramStart"/>
      <w:r>
        <w:t>need</w:t>
      </w:r>
      <w:proofErr w:type="gramEnd"/>
      <w:r>
        <w:t xml:space="preserve"> identified in the study is for social/affordable rented housing. </w:t>
      </w:r>
      <w:r w:rsidR="00CE2704">
        <w:t xml:space="preserve">Using AECOMs modelling, this HNA </w:t>
      </w:r>
      <w:r w:rsidR="00CE2704" w:rsidRPr="004A2045">
        <w:t xml:space="preserve">estimate </w:t>
      </w:r>
      <w:r w:rsidR="00CE2704">
        <w:t>potential demand</w:t>
      </w:r>
      <w:r w:rsidR="00CE2704" w:rsidRPr="004A2045">
        <w:t xml:space="preserve"> for </w:t>
      </w:r>
      <w:r w:rsidR="00CE2704">
        <w:t>75.6</w:t>
      </w:r>
      <w:r w:rsidR="00CE2704" w:rsidRPr="004A2045">
        <w:t xml:space="preserve"> affordable home ownership </w:t>
      </w:r>
      <w:r w:rsidR="00CE2704">
        <w:t>dwellings</w:t>
      </w:r>
      <w:r w:rsidR="00CE2704" w:rsidRPr="004A2045">
        <w:t xml:space="preserve"> per </w:t>
      </w:r>
      <w:r w:rsidR="00CE2704" w:rsidRPr="00993048">
        <w:t xml:space="preserve">annum in Consett, equating to a total of 1,210 over the Neighbourhood Plan period. The estimate and assumptions used is detailed in Appendix D and </w:t>
      </w:r>
      <w:proofErr w:type="spellStart"/>
      <w:r w:rsidR="00CE2704" w:rsidRPr="00993048">
        <w:t>summarised</w:t>
      </w:r>
      <w:proofErr w:type="spellEnd"/>
      <w:r w:rsidR="00CE2704" w:rsidRPr="00993048">
        <w:t xml:space="preserve"> in Table 4-6 below.</w:t>
      </w:r>
      <w:r w:rsidR="00CE2704" w:rsidRPr="004A2045">
        <w:t xml:space="preserve"> </w:t>
      </w:r>
    </w:p>
    <w:p w14:paraId="0175E12E" w14:textId="77777777" w:rsidR="003B3C47" w:rsidRDefault="003B3C47" w:rsidP="00252C91">
      <w:pPr>
        <w:pStyle w:val="Numberedtext"/>
        <w:jc w:val="both"/>
      </w:pPr>
      <w:r w:rsidRPr="00290C33">
        <w:t>It is important to keep in mind that the households identified in this estimate are, by and large, adequately housed in the private rented sector, Affordable Housing, or living in other circumstances. They do n</w:t>
      </w:r>
      <w:r w:rsidRPr="00205FA1">
        <w:t xml:space="preserve">ot necessarily lack their own housing but would prefer to buy rather than rent. They have been included in the national planning definition of those in need of Affordable Housing, but their needs are less acute than those on the waiting list for affordable rented housing. </w:t>
      </w:r>
    </w:p>
    <w:p w14:paraId="3E191832" w14:textId="6943C336" w:rsidR="00EF13FE" w:rsidRDefault="00EF13FE" w:rsidP="00252C91">
      <w:pPr>
        <w:pStyle w:val="Numberedtext"/>
        <w:jc w:val="both"/>
      </w:pPr>
      <w:r>
        <w:t xml:space="preserve">As discussed above, </w:t>
      </w:r>
      <w:r w:rsidR="00AF1D73">
        <w:t xml:space="preserve">whilst there may be potential demand for affordable home ownership </w:t>
      </w:r>
      <w:r w:rsidR="00841C83">
        <w:t>from households living in the private rented sector</w:t>
      </w:r>
      <w:r w:rsidR="00BC36E5">
        <w:t xml:space="preserve"> in Consett, access to a deposit may also provide a barrier to accessing both market and affordable housing products. </w:t>
      </w:r>
    </w:p>
    <w:p w14:paraId="3EC7614F" w14:textId="77777777" w:rsidR="004834F0" w:rsidRDefault="004834F0" w:rsidP="004834F0">
      <w:pPr>
        <w:pStyle w:val="Numberedtext"/>
        <w:numPr>
          <w:ilvl w:val="0"/>
          <w:numId w:val="0"/>
        </w:numPr>
        <w:ind w:left="811"/>
        <w:jc w:val="both"/>
      </w:pPr>
    </w:p>
    <w:p w14:paraId="27798A28" w14:textId="77777777" w:rsidR="004834F0" w:rsidRPr="00205FA1" w:rsidRDefault="004834F0" w:rsidP="00434C10">
      <w:pPr>
        <w:pStyle w:val="Numberedtext"/>
        <w:numPr>
          <w:ilvl w:val="0"/>
          <w:numId w:val="0"/>
        </w:numPr>
        <w:ind w:left="811"/>
        <w:jc w:val="both"/>
      </w:pPr>
    </w:p>
    <w:p w14:paraId="653086D3" w14:textId="28C8116B" w:rsidR="003B3C47" w:rsidRPr="00205FA1" w:rsidRDefault="003B3C47" w:rsidP="00252C91">
      <w:pPr>
        <w:pStyle w:val="Caption"/>
        <w:jc w:val="both"/>
        <w:rPr>
          <w:color w:val="auto"/>
        </w:rPr>
      </w:pPr>
      <w:r w:rsidRPr="00205FA1">
        <w:rPr>
          <w:color w:val="auto"/>
        </w:rPr>
        <w:lastRenderedPageBreak/>
        <w:t xml:space="preserve">Table </w:t>
      </w:r>
      <w:r w:rsidR="00205FA1" w:rsidRPr="00205FA1">
        <w:rPr>
          <w:color w:val="auto"/>
        </w:rPr>
        <w:t>4-6</w:t>
      </w:r>
      <w:r w:rsidRPr="00205FA1">
        <w:rPr>
          <w:color w:val="auto"/>
        </w:rPr>
        <w:t xml:space="preserve">: Estimate of need for Affordable Housing for sale in </w:t>
      </w:r>
      <w:r w:rsidR="00D143F2" w:rsidRPr="00205FA1">
        <w:rPr>
          <w:color w:val="auto"/>
        </w:rPr>
        <w:t>Consett</w:t>
      </w:r>
    </w:p>
    <w:tbl>
      <w:tblPr>
        <w:tblStyle w:val="TableGrid"/>
        <w:tblW w:w="0" w:type="auto"/>
        <w:tblInd w:w="-5" w:type="dxa"/>
        <w:tblLook w:val="04A0" w:firstRow="1" w:lastRow="0" w:firstColumn="1" w:lastColumn="0" w:noHBand="0" w:noVBand="1"/>
      </w:tblPr>
      <w:tblGrid>
        <w:gridCol w:w="6379"/>
        <w:gridCol w:w="2642"/>
      </w:tblGrid>
      <w:tr w:rsidR="003B3C47" w:rsidRPr="00205FA1" w14:paraId="28F18E6B" w14:textId="77777777" w:rsidTr="004172FF">
        <w:trPr>
          <w:cnfStyle w:val="100000000000" w:firstRow="1" w:lastRow="0" w:firstColumn="0" w:lastColumn="0" w:oddVBand="0" w:evenVBand="0" w:oddHBand="0" w:evenHBand="0" w:firstRowFirstColumn="0" w:firstRowLastColumn="0" w:lastRowFirstColumn="0" w:lastRowLastColumn="0"/>
        </w:trPr>
        <w:tc>
          <w:tcPr>
            <w:tcW w:w="6379" w:type="dxa"/>
            <w:shd w:val="clear" w:color="auto" w:fill="000000" w:themeFill="text1"/>
          </w:tcPr>
          <w:p w14:paraId="11B13B5D" w14:textId="77777777" w:rsidR="003B3C47" w:rsidRPr="00205FA1" w:rsidRDefault="003B3C47" w:rsidP="00252C91">
            <w:pPr>
              <w:pStyle w:val="ListNumber"/>
              <w:numPr>
                <w:ilvl w:val="0"/>
                <w:numId w:val="0"/>
              </w:numPr>
              <w:jc w:val="both"/>
              <w:rPr>
                <w:rFonts w:ascii="Arial" w:hAnsi="Arial" w:cs="Arial"/>
                <w:b/>
                <w:bCs/>
              </w:rPr>
            </w:pPr>
            <w:r w:rsidRPr="00205FA1">
              <w:rPr>
                <w:rFonts w:ascii="Arial" w:hAnsi="Arial" w:cs="Arial"/>
                <w:b/>
                <w:bCs/>
              </w:rPr>
              <w:t>Component of need or supply in the AECOM estimate</w:t>
            </w:r>
          </w:p>
        </w:tc>
        <w:tc>
          <w:tcPr>
            <w:tcW w:w="2642" w:type="dxa"/>
            <w:shd w:val="clear" w:color="auto" w:fill="000000" w:themeFill="text1"/>
          </w:tcPr>
          <w:p w14:paraId="573F0D64" w14:textId="77777777" w:rsidR="003B3C47" w:rsidRPr="00205FA1" w:rsidRDefault="003B3C47" w:rsidP="00252C91">
            <w:pPr>
              <w:pStyle w:val="ListNumber"/>
              <w:numPr>
                <w:ilvl w:val="0"/>
                <w:numId w:val="0"/>
              </w:numPr>
              <w:jc w:val="both"/>
              <w:rPr>
                <w:rFonts w:ascii="Arial" w:hAnsi="Arial" w:cs="Arial"/>
                <w:b/>
                <w:bCs/>
              </w:rPr>
            </w:pPr>
            <w:r w:rsidRPr="00205FA1">
              <w:rPr>
                <w:rFonts w:ascii="Arial" w:hAnsi="Arial" w:cs="Arial"/>
                <w:b/>
                <w:bCs/>
              </w:rPr>
              <w:t>Per annum</w:t>
            </w:r>
          </w:p>
        </w:tc>
      </w:tr>
      <w:tr w:rsidR="003B3C47" w:rsidRPr="00205FA1" w14:paraId="3E347D6A" w14:textId="77777777" w:rsidTr="004172FF">
        <w:tc>
          <w:tcPr>
            <w:tcW w:w="6379" w:type="dxa"/>
          </w:tcPr>
          <w:p w14:paraId="55F17796" w14:textId="77777777" w:rsidR="003B3C47" w:rsidRPr="00205FA1" w:rsidRDefault="003B3C47" w:rsidP="00252C91">
            <w:pPr>
              <w:pStyle w:val="ListNumber"/>
              <w:numPr>
                <w:ilvl w:val="0"/>
                <w:numId w:val="0"/>
              </w:numPr>
              <w:jc w:val="both"/>
              <w:rPr>
                <w:rFonts w:ascii="Arial" w:hAnsi="Arial" w:cs="Arial"/>
              </w:rPr>
            </w:pPr>
            <w:r w:rsidRPr="00205FA1">
              <w:rPr>
                <w:rFonts w:ascii="Arial" w:hAnsi="Arial" w:cs="Arial"/>
              </w:rPr>
              <w:t>Current need</w:t>
            </w:r>
          </w:p>
        </w:tc>
        <w:tc>
          <w:tcPr>
            <w:tcW w:w="2642" w:type="dxa"/>
          </w:tcPr>
          <w:p w14:paraId="2B8591BB" w14:textId="630C23DB" w:rsidR="003B3C47" w:rsidRPr="00205FA1" w:rsidRDefault="00511C85" w:rsidP="004B40BC">
            <w:pPr>
              <w:pStyle w:val="ListNumber"/>
              <w:numPr>
                <w:ilvl w:val="0"/>
                <w:numId w:val="0"/>
              </w:numPr>
              <w:jc w:val="right"/>
              <w:rPr>
                <w:rFonts w:ascii="Arial" w:hAnsi="Arial" w:cs="Arial"/>
              </w:rPr>
            </w:pPr>
            <w:r w:rsidRPr="00205FA1">
              <w:rPr>
                <w:rFonts w:ascii="Arial" w:hAnsi="Arial" w:cs="Arial"/>
              </w:rPr>
              <w:t>72.8</w:t>
            </w:r>
          </w:p>
        </w:tc>
      </w:tr>
      <w:tr w:rsidR="003B3C47" w:rsidRPr="00205FA1" w14:paraId="464471E6" w14:textId="77777777" w:rsidTr="004172FF">
        <w:tc>
          <w:tcPr>
            <w:tcW w:w="6379" w:type="dxa"/>
          </w:tcPr>
          <w:p w14:paraId="7EBC141C" w14:textId="77777777" w:rsidR="003B3C47" w:rsidRPr="00205FA1" w:rsidRDefault="003B3C47" w:rsidP="00252C91">
            <w:pPr>
              <w:pStyle w:val="ListNumber"/>
              <w:numPr>
                <w:ilvl w:val="0"/>
                <w:numId w:val="0"/>
              </w:numPr>
              <w:jc w:val="both"/>
              <w:rPr>
                <w:rFonts w:ascii="Arial" w:hAnsi="Arial" w:cs="Arial"/>
              </w:rPr>
            </w:pPr>
            <w:r w:rsidRPr="00205FA1">
              <w:rPr>
                <w:rFonts w:ascii="Arial" w:hAnsi="Arial" w:cs="Arial"/>
              </w:rPr>
              <w:t>Newly arising need</w:t>
            </w:r>
          </w:p>
        </w:tc>
        <w:tc>
          <w:tcPr>
            <w:tcW w:w="2642" w:type="dxa"/>
          </w:tcPr>
          <w:p w14:paraId="105C76C1" w14:textId="205D606F" w:rsidR="003B3C47" w:rsidRPr="00205FA1" w:rsidRDefault="00511C85" w:rsidP="004B40BC">
            <w:pPr>
              <w:pStyle w:val="ListNumber"/>
              <w:numPr>
                <w:ilvl w:val="0"/>
                <w:numId w:val="0"/>
              </w:numPr>
              <w:jc w:val="right"/>
              <w:rPr>
                <w:rFonts w:ascii="Arial" w:hAnsi="Arial" w:cs="Arial"/>
              </w:rPr>
            </w:pPr>
            <w:r w:rsidRPr="00205FA1">
              <w:rPr>
                <w:rFonts w:ascii="Arial" w:hAnsi="Arial" w:cs="Arial"/>
              </w:rPr>
              <w:t>5.0</w:t>
            </w:r>
          </w:p>
        </w:tc>
      </w:tr>
      <w:tr w:rsidR="003B3C47" w:rsidRPr="00205FA1" w14:paraId="4C95C7EB" w14:textId="77777777" w:rsidTr="004172FF">
        <w:tc>
          <w:tcPr>
            <w:tcW w:w="6379" w:type="dxa"/>
          </w:tcPr>
          <w:p w14:paraId="4AD26FB4" w14:textId="77777777" w:rsidR="003B3C47" w:rsidRPr="00205FA1" w:rsidRDefault="003B3C47" w:rsidP="00252C91">
            <w:pPr>
              <w:pStyle w:val="ListNumber"/>
              <w:numPr>
                <w:ilvl w:val="0"/>
                <w:numId w:val="0"/>
              </w:numPr>
              <w:jc w:val="both"/>
              <w:rPr>
                <w:rFonts w:ascii="Arial" w:hAnsi="Arial" w:cs="Arial"/>
              </w:rPr>
            </w:pPr>
            <w:r w:rsidRPr="00205FA1">
              <w:rPr>
                <w:rFonts w:ascii="Arial" w:hAnsi="Arial" w:cs="Arial"/>
              </w:rPr>
              <w:t>Supply</w:t>
            </w:r>
          </w:p>
        </w:tc>
        <w:tc>
          <w:tcPr>
            <w:tcW w:w="2642" w:type="dxa"/>
          </w:tcPr>
          <w:p w14:paraId="06141C7E" w14:textId="2C1DD512" w:rsidR="003B3C47" w:rsidRPr="00205FA1" w:rsidRDefault="004B40BC" w:rsidP="004B40BC">
            <w:pPr>
              <w:pStyle w:val="ListNumber"/>
              <w:numPr>
                <w:ilvl w:val="0"/>
                <w:numId w:val="0"/>
              </w:numPr>
              <w:jc w:val="right"/>
              <w:rPr>
                <w:rFonts w:ascii="Arial" w:hAnsi="Arial" w:cs="Arial"/>
              </w:rPr>
            </w:pPr>
            <w:r w:rsidRPr="00205FA1">
              <w:rPr>
                <w:rFonts w:ascii="Arial" w:hAnsi="Arial" w:cs="Arial"/>
              </w:rPr>
              <w:t>2.2</w:t>
            </w:r>
          </w:p>
        </w:tc>
      </w:tr>
      <w:tr w:rsidR="003B3C47" w14:paraId="415BE3E6" w14:textId="77777777" w:rsidTr="004172FF">
        <w:tc>
          <w:tcPr>
            <w:tcW w:w="6379" w:type="dxa"/>
          </w:tcPr>
          <w:p w14:paraId="29235A6A" w14:textId="3B230822" w:rsidR="003B3C47" w:rsidRPr="00205FA1" w:rsidRDefault="003B3C47" w:rsidP="00252C91">
            <w:pPr>
              <w:pStyle w:val="ListNumber"/>
              <w:numPr>
                <w:ilvl w:val="0"/>
                <w:numId w:val="0"/>
              </w:numPr>
              <w:jc w:val="both"/>
              <w:rPr>
                <w:rFonts w:ascii="Arial" w:hAnsi="Arial" w:cs="Arial"/>
              </w:rPr>
            </w:pPr>
            <w:r w:rsidRPr="00205FA1">
              <w:rPr>
                <w:rFonts w:ascii="Arial" w:hAnsi="Arial" w:cs="Arial"/>
              </w:rPr>
              <w:t xml:space="preserve">Net shortfall </w:t>
            </w:r>
          </w:p>
        </w:tc>
        <w:tc>
          <w:tcPr>
            <w:tcW w:w="2642" w:type="dxa"/>
          </w:tcPr>
          <w:p w14:paraId="4C505864" w14:textId="61E5776A" w:rsidR="003B3C47" w:rsidRDefault="004B40BC" w:rsidP="004B40BC">
            <w:pPr>
              <w:pStyle w:val="ListNumber"/>
              <w:numPr>
                <w:ilvl w:val="0"/>
                <w:numId w:val="0"/>
              </w:numPr>
              <w:jc w:val="right"/>
              <w:rPr>
                <w:rFonts w:ascii="Arial" w:hAnsi="Arial" w:cs="Arial"/>
              </w:rPr>
            </w:pPr>
            <w:r w:rsidRPr="00205FA1">
              <w:rPr>
                <w:rFonts w:ascii="Arial" w:hAnsi="Arial" w:cs="Arial"/>
              </w:rPr>
              <w:t>75.6</w:t>
            </w:r>
          </w:p>
        </w:tc>
      </w:tr>
    </w:tbl>
    <w:p w14:paraId="7D42B3C9" w14:textId="77777777" w:rsidR="003B3C47" w:rsidRPr="0033087A" w:rsidRDefault="003B3C47" w:rsidP="00252C91">
      <w:pPr>
        <w:pStyle w:val="Source"/>
        <w:jc w:val="both"/>
      </w:pPr>
      <w:r w:rsidRPr="001A31CB">
        <w:t>Source</w:t>
      </w:r>
      <w:r w:rsidRPr="0033087A">
        <w:t xml:space="preserve">: AECOM model summary of estimates. Full estimate included in Appendix </w:t>
      </w:r>
      <w:r>
        <w:t>D</w:t>
      </w:r>
    </w:p>
    <w:p w14:paraId="5BC39F6F" w14:textId="77777777" w:rsidR="000B15B3" w:rsidRPr="00764F1A" w:rsidRDefault="000B15B3" w:rsidP="00252C91">
      <w:pPr>
        <w:pStyle w:val="Numberedtext"/>
        <w:numPr>
          <w:ilvl w:val="0"/>
          <w:numId w:val="0"/>
        </w:numPr>
        <w:jc w:val="both"/>
      </w:pPr>
    </w:p>
    <w:p w14:paraId="645E36B8" w14:textId="77777777" w:rsidR="003B3C47" w:rsidRPr="00764F1A" w:rsidRDefault="003B3C47" w:rsidP="00252C91">
      <w:pPr>
        <w:pStyle w:val="Heading2"/>
        <w:jc w:val="both"/>
        <w:rPr>
          <w:color w:val="auto"/>
        </w:rPr>
      </w:pPr>
      <w:bookmarkStart w:id="108" w:name="_Toc33532067"/>
      <w:bookmarkStart w:id="109" w:name="_Toc102731859"/>
      <w:bookmarkStart w:id="110" w:name="_Toc31722652"/>
      <w:bookmarkEnd w:id="107"/>
      <w:r w:rsidRPr="00764F1A">
        <w:rPr>
          <w:color w:val="auto"/>
        </w:rPr>
        <w:t xml:space="preserve">Affordable Housing </w:t>
      </w:r>
      <w:bookmarkEnd w:id="108"/>
      <w:r w:rsidRPr="00764F1A">
        <w:rPr>
          <w:color w:val="auto"/>
        </w:rPr>
        <w:t>polic</w:t>
      </w:r>
      <w:bookmarkEnd w:id="109"/>
      <w:r w:rsidRPr="00764F1A">
        <w:rPr>
          <w:color w:val="auto"/>
        </w:rPr>
        <w:t>ies in Neighbourhood Plans</w:t>
      </w:r>
    </w:p>
    <w:p w14:paraId="0D66231D" w14:textId="77777777" w:rsidR="003B3C47" w:rsidRPr="00764F1A" w:rsidRDefault="003B3C47" w:rsidP="00252C91">
      <w:pPr>
        <w:pStyle w:val="Numberedtext"/>
        <w:jc w:val="both"/>
      </w:pPr>
      <w:r w:rsidRPr="00764F1A">
        <w:t xml:space="preserve">This section outlines a common Neighbourhood Plan policy level around the tenure mix of affordable housing, provides a recommendation and </w:t>
      </w:r>
      <w:proofErr w:type="spellStart"/>
      <w:r w:rsidRPr="00764F1A">
        <w:t>summarises</w:t>
      </w:r>
      <w:proofErr w:type="spellEnd"/>
      <w:r w:rsidRPr="00764F1A">
        <w:t xml:space="preserve"> relevant considerations.</w:t>
      </w:r>
    </w:p>
    <w:p w14:paraId="225DC317" w14:textId="77777777" w:rsidR="003B3C47" w:rsidRPr="00764F1A" w:rsidRDefault="003B3C47" w:rsidP="00252C91">
      <w:pPr>
        <w:pStyle w:val="Heading3"/>
        <w:jc w:val="both"/>
        <w:rPr>
          <w:color w:val="auto"/>
        </w:rPr>
      </w:pPr>
      <w:r w:rsidRPr="00764F1A">
        <w:rPr>
          <w:color w:val="auto"/>
        </w:rPr>
        <w:t>Application of Local Plan policies</w:t>
      </w:r>
    </w:p>
    <w:p w14:paraId="3F295580" w14:textId="1B17E996" w:rsidR="008B6870" w:rsidRDefault="00C00FFC" w:rsidP="00252C91">
      <w:pPr>
        <w:pStyle w:val="Numberedtext"/>
        <w:jc w:val="both"/>
      </w:pPr>
      <w:r>
        <w:t>County Durham</w:t>
      </w:r>
      <w:r w:rsidR="003B3C47" w:rsidRPr="00764F1A">
        <w:t xml:space="preserve">’s adopted policy on this subject </w:t>
      </w:r>
      <w:r>
        <w:t xml:space="preserve">(Policy </w:t>
      </w:r>
      <w:r w:rsidR="00126ACF">
        <w:t xml:space="preserve">15 – Affordable Housing Need) </w:t>
      </w:r>
      <w:r w:rsidR="003B3C47" w:rsidRPr="00764F1A">
        <w:t xml:space="preserve">requires </w:t>
      </w:r>
      <w:r w:rsidR="00126ACF">
        <w:t>between 10</w:t>
      </w:r>
      <w:r w:rsidR="003B3C47" w:rsidRPr="00764F1A">
        <w:t>%</w:t>
      </w:r>
      <w:r w:rsidR="00F61797">
        <w:t xml:space="preserve"> and 25%</w:t>
      </w:r>
      <w:r w:rsidR="003B3C47" w:rsidRPr="00764F1A">
        <w:t xml:space="preserve"> of all new housing to be affordable</w:t>
      </w:r>
      <w:r w:rsidR="00F61797">
        <w:t xml:space="preserve">, depending on </w:t>
      </w:r>
      <w:r w:rsidR="00CC6BC2">
        <w:t>location of housing sites in one of four v</w:t>
      </w:r>
      <w:r w:rsidR="00E73B2C">
        <w:t>alue</w:t>
      </w:r>
      <w:r w:rsidR="00CC6BC2">
        <w:t xml:space="preserve"> areas</w:t>
      </w:r>
      <w:r w:rsidR="003B3C47" w:rsidRPr="00764F1A">
        <w:t xml:space="preserve">. </w:t>
      </w:r>
      <w:r w:rsidR="00A67905">
        <w:t>County Durham were unable to provide a breakdown of the number of Affordable Home</w:t>
      </w:r>
      <w:r w:rsidR="00E637F9">
        <w:t>s</w:t>
      </w:r>
      <w:r w:rsidR="00A67905">
        <w:t xml:space="preserve"> that were completed over the last decade, so the extent to which this target in met on sites in Consett is unknown. </w:t>
      </w:r>
    </w:p>
    <w:p w14:paraId="06EF4B20" w14:textId="77777777" w:rsidR="003B3C47" w:rsidRPr="00764F1A" w:rsidRDefault="003B3C47" w:rsidP="00252C91">
      <w:pPr>
        <w:pStyle w:val="Numberedtext"/>
        <w:jc w:val="both"/>
      </w:pPr>
      <w:r w:rsidRPr="00764F1A">
        <w:t xml:space="preserve">The overall proportion of housing that must be affordable is not an area of policy that a Neighbourhood Plan can usually influence, but it is worth emphasizing that the HNA finds there to be robust evidence of need for Affordable Housing in the NA, and every effort should be made to </w:t>
      </w:r>
      <w:proofErr w:type="spellStart"/>
      <w:r w:rsidRPr="00764F1A">
        <w:t>maximise</w:t>
      </w:r>
      <w:proofErr w:type="spellEnd"/>
      <w:r w:rsidRPr="00764F1A">
        <w:t xml:space="preserve"> delivery where viable. Changing or influencing the overall proportion of housing that must be affordable is uncommon in Neighbourhood Plans and would demand a high standard of evidence to depart from the Local Plan. If this is of interest, it should first be discussed with the LPA to ensure their support and to determine what additional evidence (e.g. about development viability) would be needed. </w:t>
      </w:r>
    </w:p>
    <w:p w14:paraId="3D8AE59D" w14:textId="77777777" w:rsidR="004D71BB" w:rsidRDefault="003B3C47" w:rsidP="00252C91">
      <w:pPr>
        <w:pStyle w:val="Numberedtext"/>
        <w:jc w:val="both"/>
      </w:pPr>
      <w:r w:rsidRPr="00764F1A">
        <w:t>How the Affordable Housing that comes forward through mainstream development sites is broken down into specific tenures – such as the balance between rented tenures and routes to home ownership – is</w:t>
      </w:r>
      <w:r w:rsidR="004D71BB">
        <w:t xml:space="preserve"> specified in the Local Plan. </w:t>
      </w:r>
    </w:p>
    <w:p w14:paraId="18D7A783" w14:textId="77777777" w:rsidR="003B3C47" w:rsidRPr="00764F1A" w:rsidRDefault="003B3C47" w:rsidP="00252C91">
      <w:pPr>
        <w:pStyle w:val="Heading3"/>
        <w:jc w:val="both"/>
        <w:rPr>
          <w:color w:val="auto"/>
        </w:rPr>
      </w:pPr>
      <w:r w:rsidRPr="00764F1A">
        <w:rPr>
          <w:color w:val="auto"/>
        </w:rPr>
        <w:t>Affordable Housing at Neighbourhood level</w:t>
      </w:r>
    </w:p>
    <w:p w14:paraId="24421203" w14:textId="026FFB33" w:rsidR="003B3C47" w:rsidRDefault="003B3C47" w:rsidP="00252C91">
      <w:pPr>
        <w:pStyle w:val="Numberedtext"/>
        <w:jc w:val="both"/>
      </w:pPr>
      <w:r w:rsidRPr="00764F1A">
        <w:t xml:space="preserve">The HNA can provide more </w:t>
      </w:r>
      <w:proofErr w:type="spellStart"/>
      <w:r w:rsidRPr="00764F1A">
        <w:t>localised</w:t>
      </w:r>
      <w:proofErr w:type="spellEnd"/>
      <w:r w:rsidRPr="00764F1A">
        <w:t xml:space="preserve"> </w:t>
      </w:r>
      <w:r w:rsidR="00C15FAE" w:rsidRPr="00764F1A">
        <w:t>evidence,</w:t>
      </w:r>
      <w:r w:rsidRPr="00764F1A">
        <w:t xml:space="preserve"> and this may be used to support Neighbourhood Plan policies. This section suggests an Affordable Housing tenure mix that might be suitable for </w:t>
      </w:r>
      <w:r w:rsidR="00D143F2">
        <w:t>Consett</w:t>
      </w:r>
      <w:r w:rsidRPr="00764F1A">
        <w:t xml:space="preserve"> </w:t>
      </w:r>
      <w:proofErr w:type="gramStart"/>
      <w:r w:rsidRPr="00764F1A">
        <w:t>on the basis of</w:t>
      </w:r>
      <w:proofErr w:type="gramEnd"/>
      <w:r w:rsidRPr="00764F1A">
        <w:t xml:space="preserve"> identified housing need and a range of other considerations detailed in Appendix D.</w:t>
      </w:r>
    </w:p>
    <w:p w14:paraId="31C807DC" w14:textId="24B49C49" w:rsidR="007E0ADA" w:rsidRDefault="00614ACB" w:rsidP="007E0ADA">
      <w:pPr>
        <w:pStyle w:val="Numberedtext"/>
        <w:numPr>
          <w:ilvl w:val="0"/>
          <w:numId w:val="47"/>
        </w:numPr>
        <w:jc w:val="both"/>
      </w:pPr>
      <w:r>
        <w:t>This HNA estimates both a robust need and potential demand for both social/affordable rent and affordable hom</w:t>
      </w:r>
      <w:r w:rsidR="007E0ADA">
        <w:t>eownership products</w:t>
      </w:r>
      <w:r w:rsidR="00EA6CE9">
        <w:t xml:space="preserve"> (albeit likely </w:t>
      </w:r>
      <w:r w:rsidR="00EA6CE9">
        <w:lastRenderedPageBreak/>
        <w:t>limited by availability of deposits ra</w:t>
      </w:r>
      <w:r w:rsidR="000D5CF5">
        <w:t>ther than household income)</w:t>
      </w:r>
      <w:r w:rsidR="00CB7A49">
        <w:t xml:space="preserve">. </w:t>
      </w:r>
      <w:r w:rsidR="007E0ADA">
        <w:t>Although the demand for affordable home ownership pro</w:t>
      </w:r>
      <w:r w:rsidR="004C5BF4">
        <w:t xml:space="preserve">ducts is </w:t>
      </w:r>
      <w:r w:rsidR="00F83DDB">
        <w:t>potentially</w:t>
      </w:r>
      <w:r w:rsidR="004C5BF4">
        <w:t xml:space="preserve"> higher, this HNA would recommend the delivery of new </w:t>
      </w:r>
      <w:r w:rsidR="00F85DD9">
        <w:t>A</w:t>
      </w:r>
      <w:r w:rsidR="004C5BF4">
        <w:t xml:space="preserve">ffordable </w:t>
      </w:r>
      <w:r w:rsidR="00F85DD9">
        <w:t>Housing</w:t>
      </w:r>
      <w:r w:rsidR="004C5BF4">
        <w:t xml:space="preserve"> should </w:t>
      </w:r>
      <w:r w:rsidR="00F83DDB">
        <w:t>focus</w:t>
      </w:r>
      <w:r w:rsidR="004C5BF4">
        <w:t xml:space="preserve"> on providing an increased supply of </w:t>
      </w:r>
      <w:r w:rsidR="00F83DDB">
        <w:t xml:space="preserve">social/affordable rented homes </w:t>
      </w:r>
      <w:r w:rsidR="00C47C93">
        <w:t>given that</w:t>
      </w:r>
      <w:r w:rsidR="00F83DDB">
        <w:t xml:space="preserve"> these</w:t>
      </w:r>
      <w:r w:rsidR="00C47C93">
        <w:t xml:space="preserve"> tenures</w:t>
      </w:r>
      <w:r w:rsidR="00F83DDB">
        <w:t xml:space="preserve"> respond to the most acute housing needs in any given area.</w:t>
      </w:r>
    </w:p>
    <w:p w14:paraId="6111B91F" w14:textId="637E8019" w:rsidR="00F83DDB" w:rsidRDefault="00F83DDB" w:rsidP="007E0ADA">
      <w:pPr>
        <w:pStyle w:val="Numberedtext"/>
        <w:numPr>
          <w:ilvl w:val="0"/>
          <w:numId w:val="47"/>
        </w:numPr>
        <w:jc w:val="both"/>
      </w:pPr>
      <w:r>
        <w:t xml:space="preserve">It should also be noted that </w:t>
      </w:r>
      <w:r w:rsidR="00F53036">
        <w:t>the potential need for social/affordable rented housing could be higher</w:t>
      </w:r>
      <w:r w:rsidR="005F27C2">
        <w:t xml:space="preserve"> than the </w:t>
      </w:r>
      <w:proofErr w:type="spellStart"/>
      <w:r w:rsidR="005F27C2">
        <w:t>esimtate</w:t>
      </w:r>
      <w:proofErr w:type="spellEnd"/>
      <w:r w:rsidR="005F27C2">
        <w:t xml:space="preserve"> above</w:t>
      </w:r>
      <w:r w:rsidR="00F53036">
        <w:t xml:space="preserve"> </w:t>
      </w:r>
      <w:r w:rsidR="005F13C1">
        <w:t xml:space="preserve">given the affordable housing waiting list figure provided by </w:t>
      </w:r>
      <w:r w:rsidR="00C373A6">
        <w:t>Durham County Council (3,392 applicants). However, Durham County Council have advised that this figure should be treated with caution</w:t>
      </w:r>
      <w:r w:rsidR="004A71FD">
        <w:t>. A</w:t>
      </w:r>
      <w:r w:rsidR="00C373A6">
        <w:t xml:space="preserve">pplicants </w:t>
      </w:r>
      <w:r w:rsidR="00FA2FE8">
        <w:t>to the waiting list select an area in the NA they would like to live</w:t>
      </w:r>
      <w:r w:rsidR="004A71FD">
        <w:t xml:space="preserve">, meaning there is likely to be a significant </w:t>
      </w:r>
      <w:r w:rsidR="005779AF">
        <w:t xml:space="preserve">amount of double counting as applicants will normally have more than one location preference. </w:t>
      </w:r>
    </w:p>
    <w:p w14:paraId="024B9E22" w14:textId="3860671F" w:rsidR="005779AF" w:rsidRDefault="005779AF" w:rsidP="007E0ADA">
      <w:pPr>
        <w:pStyle w:val="Numberedtext"/>
        <w:numPr>
          <w:ilvl w:val="0"/>
          <w:numId w:val="47"/>
        </w:numPr>
        <w:jc w:val="both"/>
      </w:pPr>
      <w:r>
        <w:t xml:space="preserve">Nonetheless, </w:t>
      </w:r>
      <w:r w:rsidR="00B4442F">
        <w:t xml:space="preserve">there may be a more acute concentration of Affordable Housing </w:t>
      </w:r>
      <w:r w:rsidR="001B4621">
        <w:t xml:space="preserve">need in Consett than the pro-rated </w:t>
      </w:r>
      <w:r w:rsidR="000F2422">
        <w:t xml:space="preserve">county wide figures suggest. If the </w:t>
      </w:r>
      <w:r w:rsidR="00F458EA">
        <w:t>Consett Neighbourhood Plan Forum</w:t>
      </w:r>
      <w:r w:rsidR="000F2422">
        <w:t xml:space="preserve"> require more information on the </w:t>
      </w:r>
      <w:r w:rsidR="00D640B4">
        <w:t xml:space="preserve">distribution of Affordable Housing need across the county council area it would be advisable to discuss this matter with Durham County Council. </w:t>
      </w:r>
    </w:p>
    <w:p w14:paraId="2B7F691F" w14:textId="2F945854" w:rsidR="00DA121B" w:rsidRDefault="00DA121B" w:rsidP="00A14491">
      <w:pPr>
        <w:pStyle w:val="Numberedtext"/>
        <w:numPr>
          <w:ilvl w:val="0"/>
          <w:numId w:val="47"/>
        </w:numPr>
        <w:jc w:val="both"/>
      </w:pPr>
      <w:r w:rsidRPr="00D60F61">
        <w:t>The County Durham Plan sets out a guideline split for Affordable Housing in the NA depending on where sites sit within</w:t>
      </w:r>
      <w:r>
        <w:t xml:space="preserve"> a housing ‘viability area’. Within Consett, there are high, medium and low viability areas, meaning new </w:t>
      </w:r>
      <w:r w:rsidR="00FF25AC">
        <w:t>A</w:t>
      </w:r>
      <w:r>
        <w:t xml:space="preserve">ffordable </w:t>
      </w:r>
      <w:r w:rsidR="00FF25AC">
        <w:t>H</w:t>
      </w:r>
      <w:r>
        <w:t xml:space="preserve">ousing that comes forward in the NA can be expected to provide an Affordable Housing contribution of between 10 and 20%. </w:t>
      </w:r>
    </w:p>
    <w:p w14:paraId="51675313" w14:textId="4CB0DD6A" w:rsidR="0001558A" w:rsidRDefault="0001558A" w:rsidP="00A14491">
      <w:pPr>
        <w:pStyle w:val="Numberedtext"/>
        <w:numPr>
          <w:ilvl w:val="0"/>
          <w:numId w:val="47"/>
        </w:numPr>
        <w:jc w:val="both"/>
      </w:pPr>
      <w:r>
        <w:t>It is also worth noting that First Homes</w:t>
      </w:r>
      <w:r w:rsidR="00D640B4">
        <w:t xml:space="preserve"> and Discount Market Sale</w:t>
      </w:r>
      <w:r>
        <w:t xml:space="preserve"> at a discount of </w:t>
      </w:r>
      <w:r w:rsidR="00D640B4">
        <w:t xml:space="preserve">either 20% or </w:t>
      </w:r>
      <w:r>
        <w:t xml:space="preserve">30% present a similar level of affordability to </w:t>
      </w:r>
      <w:r w:rsidR="00984E84">
        <w:t xml:space="preserve">the average house </w:t>
      </w:r>
      <w:r w:rsidR="00FF25AC">
        <w:t>prices</w:t>
      </w:r>
      <w:r w:rsidR="00696B80">
        <w:t xml:space="preserve">, with entry level house prices already affordable to average income households. This </w:t>
      </w:r>
      <w:r w:rsidR="00D14F73">
        <w:t xml:space="preserve">suggests that access to a deposit </w:t>
      </w:r>
      <w:r w:rsidR="00696B80">
        <w:t xml:space="preserve">may be </w:t>
      </w:r>
      <w:r w:rsidR="00D14F73">
        <w:t>a key barrier to accessing home ownership</w:t>
      </w:r>
      <w:r w:rsidR="00696B80">
        <w:t xml:space="preserve"> rather than household incomes in Consett</w:t>
      </w:r>
      <w:r w:rsidR="00D14F73">
        <w:t xml:space="preserve">. </w:t>
      </w:r>
      <w:r w:rsidR="00177135">
        <w:t xml:space="preserve">As such, </w:t>
      </w:r>
      <w:r w:rsidR="00696B80">
        <w:t>R</w:t>
      </w:r>
      <w:r w:rsidR="00177135">
        <w:t>ent</w:t>
      </w:r>
      <w:r w:rsidR="00696B80">
        <w:t xml:space="preserve"> </w:t>
      </w:r>
      <w:r w:rsidR="00177135">
        <w:t>to</w:t>
      </w:r>
      <w:r w:rsidR="00696B80">
        <w:t xml:space="preserve"> B</w:t>
      </w:r>
      <w:r w:rsidR="00177135">
        <w:t xml:space="preserve">uy may be </w:t>
      </w:r>
      <w:r w:rsidR="005F632F">
        <w:t>a</w:t>
      </w:r>
      <w:r w:rsidR="00460C15">
        <w:t xml:space="preserve"> product that is </w:t>
      </w:r>
      <w:r w:rsidR="005F632F">
        <w:t xml:space="preserve">worth exploring in Consett. Although </w:t>
      </w:r>
      <w:r w:rsidR="00460C15">
        <w:t>R</w:t>
      </w:r>
      <w:r w:rsidR="005F632F">
        <w:t>ent</w:t>
      </w:r>
      <w:r w:rsidR="00460C15">
        <w:t xml:space="preserve"> </w:t>
      </w:r>
      <w:r w:rsidR="005F632F">
        <w:t>to</w:t>
      </w:r>
      <w:r w:rsidR="00460C15">
        <w:t xml:space="preserve"> B</w:t>
      </w:r>
      <w:r w:rsidR="005F632F">
        <w:t xml:space="preserve">uy is </w:t>
      </w:r>
      <w:r w:rsidR="00B6107E">
        <w:t>a less common product here (and in many other parts of the country)</w:t>
      </w:r>
      <w:r w:rsidR="005F632F">
        <w:t xml:space="preserve">, it </w:t>
      </w:r>
      <w:r w:rsidR="00AB502D">
        <w:t xml:space="preserve">could allow households without access to a sufficient deposit to </w:t>
      </w:r>
      <w:r w:rsidR="00564B7C">
        <w:t xml:space="preserve">build up savings a purchase a home </w:t>
      </w:r>
      <w:r w:rsidR="00816DF2">
        <w:t xml:space="preserve">over time. </w:t>
      </w:r>
    </w:p>
    <w:p w14:paraId="5D22D413" w14:textId="3328967F" w:rsidR="00784BFD" w:rsidRDefault="005F447E" w:rsidP="00A14491">
      <w:pPr>
        <w:pStyle w:val="Numberedtext"/>
        <w:numPr>
          <w:ilvl w:val="0"/>
          <w:numId w:val="47"/>
        </w:numPr>
        <w:jc w:val="both"/>
      </w:pPr>
      <w:r>
        <w:t xml:space="preserve">Further, </w:t>
      </w:r>
      <w:r w:rsidR="00320699">
        <w:t xml:space="preserve">First Homes </w:t>
      </w:r>
      <w:r>
        <w:t xml:space="preserve">do not extend home ownership in </w:t>
      </w:r>
      <w:r w:rsidR="00320699">
        <w:t>Consett</w:t>
      </w:r>
      <w:r w:rsidR="006174AD">
        <w:t xml:space="preserve"> as households with average incomes can already afford to buy on the open market. The role of </w:t>
      </w:r>
      <w:r w:rsidR="00483643">
        <w:t xml:space="preserve">Discount Market Sale or </w:t>
      </w:r>
      <w:r w:rsidR="006174AD">
        <w:t xml:space="preserve">First Homes here might be to provide a wider choice of lower priced properties (including larger family homes). </w:t>
      </w:r>
      <w:r w:rsidR="00F64B1F">
        <w:t xml:space="preserve">However, access to a </w:t>
      </w:r>
      <w:r w:rsidR="005354EE">
        <w:t>deposit is</w:t>
      </w:r>
      <w:r w:rsidR="00F64B1F">
        <w:t xml:space="preserve"> likely to remain</w:t>
      </w:r>
      <w:r w:rsidR="005354EE">
        <w:t xml:space="preserve"> a barrier to home ownership</w:t>
      </w:r>
      <w:r w:rsidR="00F64B1F">
        <w:t xml:space="preserve"> for some of these households. </w:t>
      </w:r>
    </w:p>
    <w:p w14:paraId="781D2598" w14:textId="233A7F75" w:rsidR="004028E4" w:rsidRDefault="00DA121B" w:rsidP="00A14491">
      <w:pPr>
        <w:pStyle w:val="Numberedtext"/>
        <w:numPr>
          <w:ilvl w:val="0"/>
          <w:numId w:val="47"/>
        </w:numPr>
        <w:jc w:val="both"/>
      </w:pPr>
      <w:r>
        <w:t>S</w:t>
      </w:r>
      <w:r w:rsidR="00E93FD5">
        <w:t xml:space="preserve">hared ownership may prove a more </w:t>
      </w:r>
      <w:r w:rsidR="00320699">
        <w:t>appropriate affordable tenure</w:t>
      </w:r>
      <w:r>
        <w:t xml:space="preserve"> for lower earning households in Consett, where new homes can be offered at a variety of equity share options. </w:t>
      </w:r>
      <w:r w:rsidR="008C2727">
        <w:t xml:space="preserve">The lower share options would also require a lower </w:t>
      </w:r>
      <w:proofErr w:type="gramStart"/>
      <w:r w:rsidR="008C2727">
        <w:t>deposit</w:t>
      </w:r>
      <w:proofErr w:type="gramEnd"/>
      <w:r w:rsidR="008C2727">
        <w:t xml:space="preserve"> and this may help to remove the barrier to ownership for some households</w:t>
      </w:r>
      <w:r w:rsidR="00797B24">
        <w:t xml:space="preserve">. </w:t>
      </w:r>
    </w:p>
    <w:p w14:paraId="2C12708D" w14:textId="01D961AF" w:rsidR="00A65206" w:rsidRPr="00764F1A" w:rsidRDefault="00797B24" w:rsidP="00211D8E">
      <w:pPr>
        <w:pStyle w:val="Numberedtext"/>
        <w:numPr>
          <w:ilvl w:val="0"/>
          <w:numId w:val="47"/>
        </w:numPr>
        <w:jc w:val="both"/>
      </w:pPr>
      <w:r w:rsidRPr="00483643">
        <w:lastRenderedPageBreak/>
        <w:t xml:space="preserve">Nonetheless, based on the analysis </w:t>
      </w:r>
      <w:r w:rsidR="00D76938" w:rsidRPr="00483643">
        <w:t xml:space="preserve">in this report, if the Consett Town Council were to apply a tenure split for the whole designated NA, this HNA would recommend a split of </w:t>
      </w:r>
      <w:r w:rsidR="00FB3E86" w:rsidRPr="00C60545">
        <w:t>7</w:t>
      </w:r>
      <w:r w:rsidR="00D76938" w:rsidRPr="00483643">
        <w:t xml:space="preserve">5% </w:t>
      </w:r>
      <w:r w:rsidR="00401ACF" w:rsidRPr="00483643">
        <w:t xml:space="preserve">social/affordable rented housing and </w:t>
      </w:r>
      <w:r w:rsidR="00FB3E86" w:rsidRPr="00C60545">
        <w:t>2</w:t>
      </w:r>
      <w:r w:rsidR="008665AE" w:rsidRPr="00483643">
        <w:t>5</w:t>
      </w:r>
      <w:r w:rsidR="00401ACF" w:rsidRPr="00483643">
        <w:t xml:space="preserve">% affordable home ownership. This split would respond to the most acute </w:t>
      </w:r>
      <w:r w:rsidR="006336A7" w:rsidRPr="00483643">
        <w:t xml:space="preserve">housing needs in the </w:t>
      </w:r>
      <w:r w:rsidR="008665AE" w:rsidRPr="00483643">
        <w:t>NA and</w:t>
      </w:r>
      <w:r w:rsidR="006336A7" w:rsidRPr="00483643">
        <w:t xml:space="preserve"> help to accommodate the significant affordable housing need identified in the waiting list. </w:t>
      </w:r>
      <w:r w:rsidR="008665AE" w:rsidRPr="00483643">
        <w:t>Application of this split would also meaningfully improve the supply of a</w:t>
      </w:r>
      <w:r w:rsidR="005620A0" w:rsidRPr="00483643">
        <w:t xml:space="preserve">ffordable home ownership products. </w:t>
      </w:r>
      <w:r w:rsidR="00A2525E" w:rsidRPr="00483643">
        <w:t>It would be worth</w:t>
      </w:r>
      <w:r w:rsidR="00A14491" w:rsidRPr="00483643">
        <w:t>while for</w:t>
      </w:r>
      <w:r w:rsidR="00A2525E" w:rsidRPr="00483643">
        <w:t xml:space="preserve"> the Consett </w:t>
      </w:r>
      <w:r w:rsidR="00A65206" w:rsidRPr="00483643">
        <w:t>Neighbourhood Plan Forum</w:t>
      </w:r>
      <w:r w:rsidR="00A2525E" w:rsidRPr="00483643">
        <w:t xml:space="preserve"> </w:t>
      </w:r>
      <w:r w:rsidR="00A14491" w:rsidRPr="00483643">
        <w:t xml:space="preserve">to discuss the viability of this affordable tenure option in the NA, as both shared ownership and rent-to-buy may provide a more appropriate route to home ownership in Consett. </w:t>
      </w:r>
    </w:p>
    <w:p w14:paraId="61706090" w14:textId="32967E05" w:rsidR="004A6040" w:rsidRPr="00A65206" w:rsidRDefault="003B3C47" w:rsidP="00A65206">
      <w:pPr>
        <w:pStyle w:val="Numberedtext"/>
        <w:jc w:val="both"/>
      </w:pPr>
      <w:r w:rsidRPr="00764F1A">
        <w:t xml:space="preserve">Where the </w:t>
      </w:r>
      <w:r w:rsidR="00BB3B52">
        <w:t xml:space="preserve">Consett Neighbourhood Plan Forum </w:t>
      </w:r>
      <w:r w:rsidRPr="00764F1A">
        <w:t xml:space="preserve">wish to develop policy that deviates from that outlined in the Local Plan – either by differing from the headline split between renting and ownership or by specifying a greater level of detail around sub-tenures, it is important that they liaise with </w:t>
      </w:r>
      <w:r w:rsidR="00DC6F3A">
        <w:t>Durham County Council</w:t>
      </w:r>
      <w:r w:rsidR="006D204D">
        <w:t xml:space="preserve"> </w:t>
      </w:r>
      <w:r w:rsidRPr="00764F1A">
        <w:t>to determine what additional evidence (nota</w:t>
      </w:r>
      <w:r w:rsidRPr="00A65206">
        <w:t xml:space="preserve">bly about development viability) may be needed, and to ensure that departures from the local policy context have their support. </w:t>
      </w:r>
    </w:p>
    <w:p w14:paraId="1E56B074" w14:textId="4E527E40" w:rsidR="003B3C47" w:rsidRPr="00764F1A" w:rsidRDefault="003B3C47" w:rsidP="00252C91">
      <w:pPr>
        <w:pStyle w:val="Caption"/>
        <w:jc w:val="both"/>
        <w:rPr>
          <w:color w:val="auto"/>
        </w:rPr>
      </w:pPr>
      <w:r w:rsidRPr="00A65206">
        <w:rPr>
          <w:color w:val="auto"/>
        </w:rPr>
        <w:t xml:space="preserve">Table </w:t>
      </w:r>
      <w:r w:rsidR="00A65206" w:rsidRPr="00A65206">
        <w:rPr>
          <w:color w:val="auto"/>
        </w:rPr>
        <w:t>4-7</w:t>
      </w:r>
      <w:r w:rsidRPr="00A65206">
        <w:rPr>
          <w:color w:val="auto"/>
        </w:rPr>
        <w:t>: Indicative tenure</w:t>
      </w:r>
      <w:r w:rsidRPr="00764F1A">
        <w:rPr>
          <w:color w:val="auto"/>
        </w:rPr>
        <w:t xml:space="preserve"> split (Affordable Housing) </w:t>
      </w:r>
    </w:p>
    <w:tbl>
      <w:tblPr>
        <w:tblStyle w:val="ListTable31"/>
        <w:tblW w:w="9834" w:type="dxa"/>
        <w:tblInd w:w="-5" w:type="dxa"/>
        <w:tblLook w:val="04A0" w:firstRow="1" w:lastRow="0" w:firstColumn="1" w:lastColumn="0" w:noHBand="0" w:noVBand="1"/>
      </w:tblPr>
      <w:tblGrid>
        <w:gridCol w:w="3119"/>
        <w:gridCol w:w="2126"/>
        <w:gridCol w:w="4589"/>
      </w:tblGrid>
      <w:tr w:rsidR="00617BFD" w14:paraId="40373F70" w14:textId="77777777" w:rsidTr="009675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auto"/>
            </w:tcBorders>
            <w:vAlign w:val="center"/>
          </w:tcPr>
          <w:p w14:paraId="1CF6673A" w14:textId="31A1BDA6" w:rsidR="00617BFD" w:rsidRDefault="00617BFD" w:rsidP="00252C91">
            <w:pPr>
              <w:pStyle w:val="BodyText"/>
              <w:jc w:val="both"/>
            </w:pPr>
            <w:r w:rsidRPr="00D26DCC">
              <w:t>Tenu</w:t>
            </w:r>
            <w:r>
              <w:t>r</w:t>
            </w:r>
            <w:r w:rsidRPr="00D26DCC">
              <w:t>e</w:t>
            </w:r>
          </w:p>
        </w:tc>
        <w:tc>
          <w:tcPr>
            <w:tcW w:w="2126" w:type="dxa"/>
            <w:tcBorders>
              <w:bottom w:val="single" w:sz="4" w:space="0" w:color="auto"/>
            </w:tcBorders>
            <w:vAlign w:val="center"/>
          </w:tcPr>
          <w:p w14:paraId="33E2EF51" w14:textId="24F56372" w:rsidR="00617BFD" w:rsidRDefault="00617BFD" w:rsidP="00252C91">
            <w:pPr>
              <w:pStyle w:val="BodyText"/>
              <w:jc w:val="both"/>
              <w:cnfStyle w:val="100000000000" w:firstRow="1" w:lastRow="0" w:firstColumn="0" w:lastColumn="0" w:oddVBand="0" w:evenVBand="0" w:oddHBand="0" w:evenHBand="0" w:firstRowFirstColumn="0" w:firstRowLastColumn="0" w:lastRowFirstColumn="0" w:lastRowLastColumn="0"/>
            </w:pPr>
            <w:r w:rsidRPr="00D26DCC">
              <w:t xml:space="preserve">Indicative </w:t>
            </w:r>
            <w:r>
              <w:t>mix</w:t>
            </w:r>
            <w:r w:rsidRPr="00D26DCC">
              <w:t xml:space="preserve"> </w:t>
            </w:r>
          </w:p>
        </w:tc>
        <w:tc>
          <w:tcPr>
            <w:tcW w:w="4589" w:type="dxa"/>
            <w:tcBorders>
              <w:bottom w:val="single" w:sz="4" w:space="0" w:color="auto"/>
            </w:tcBorders>
          </w:tcPr>
          <w:p w14:paraId="2403C8B3" w14:textId="74F4DF18" w:rsidR="00617BFD" w:rsidRDefault="00617BFD" w:rsidP="00252C91">
            <w:pPr>
              <w:pStyle w:val="BodyText"/>
              <w:jc w:val="both"/>
              <w:cnfStyle w:val="100000000000" w:firstRow="1" w:lastRow="0" w:firstColumn="0" w:lastColumn="0" w:oddVBand="0" w:evenVBand="0" w:oddHBand="0" w:evenHBand="0" w:firstRowFirstColumn="0" w:firstRowLastColumn="0" w:lastRowFirstColumn="0" w:lastRowLastColumn="0"/>
            </w:pPr>
            <w:r w:rsidRPr="00D26DCC">
              <w:t>Considerations and uncertainties</w:t>
            </w:r>
          </w:p>
        </w:tc>
      </w:tr>
      <w:tr w:rsidR="00967573" w14:paraId="43B54E68" w14:textId="77777777" w:rsidTr="00BB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vAlign w:val="center"/>
          </w:tcPr>
          <w:p w14:paraId="22897F4F" w14:textId="7F1C129C" w:rsidR="00967573" w:rsidRDefault="00967573" w:rsidP="00252C91">
            <w:pPr>
              <w:pStyle w:val="BodyText"/>
              <w:jc w:val="both"/>
            </w:pPr>
            <w:r w:rsidRPr="00D26DCC">
              <w:t>Routes to home ownership, of which</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FE5C874" w14:textId="538AF361" w:rsidR="00967573" w:rsidRPr="00BB3B52" w:rsidRDefault="00483643" w:rsidP="00BB3B52">
            <w:pPr>
              <w:pStyle w:val="BodyText"/>
              <w:jc w:val="right"/>
              <w:cnfStyle w:val="000000100000" w:firstRow="0" w:lastRow="0" w:firstColumn="0" w:lastColumn="0" w:oddVBand="0" w:evenVBand="0" w:oddHBand="1" w:evenHBand="0" w:firstRowFirstColumn="0" w:firstRowLastColumn="0" w:lastRowFirstColumn="0" w:lastRowLastColumn="0"/>
            </w:pPr>
            <w:r>
              <w:rPr>
                <w:b/>
                <w:bCs/>
              </w:rPr>
              <w:t>2</w:t>
            </w:r>
            <w:r w:rsidR="004A6040" w:rsidRPr="00BB3B52">
              <w:rPr>
                <w:b/>
                <w:bCs/>
              </w:rPr>
              <w:t>5</w:t>
            </w:r>
            <w:r w:rsidR="00967573" w:rsidRPr="00BB3B52">
              <w:rPr>
                <w:b/>
                <w:bCs/>
              </w:rPr>
              <w:t>%</w:t>
            </w:r>
          </w:p>
        </w:tc>
        <w:tc>
          <w:tcPr>
            <w:tcW w:w="4589" w:type="dxa"/>
            <w:tcBorders>
              <w:top w:val="single" w:sz="4" w:space="0" w:color="auto"/>
              <w:left w:val="single" w:sz="4" w:space="0" w:color="auto"/>
              <w:bottom w:val="single" w:sz="4" w:space="0" w:color="auto"/>
              <w:right w:val="single" w:sz="4" w:space="0" w:color="auto"/>
            </w:tcBorders>
          </w:tcPr>
          <w:p w14:paraId="7D47B9F1" w14:textId="77777777" w:rsidR="00967573" w:rsidRDefault="00967573" w:rsidP="00252C91">
            <w:pPr>
              <w:pStyle w:val="BodyText"/>
              <w:jc w:val="both"/>
              <w:cnfStyle w:val="000000100000" w:firstRow="0" w:lastRow="0" w:firstColumn="0" w:lastColumn="0" w:oddVBand="0" w:evenVBand="0" w:oddHBand="1" w:evenHBand="0" w:firstRowFirstColumn="0" w:firstRowLastColumn="0" w:lastRowFirstColumn="0" w:lastRowLastColumn="0"/>
            </w:pPr>
          </w:p>
        </w:tc>
      </w:tr>
      <w:tr w:rsidR="00967573" w14:paraId="02DE6A2F" w14:textId="77777777" w:rsidTr="00BB3B52">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vAlign w:val="center"/>
          </w:tcPr>
          <w:p w14:paraId="0BFDDAE5" w14:textId="34AD1B3B" w:rsidR="00967573" w:rsidRDefault="00483643" w:rsidP="00252C91">
            <w:pPr>
              <w:pStyle w:val="BodyText"/>
              <w:jc w:val="both"/>
            </w:pPr>
            <w:r>
              <w:rPr>
                <w:iCs/>
              </w:rPr>
              <w:t xml:space="preserve">Discount Market Sale / </w:t>
            </w:r>
            <w:r w:rsidR="00967573" w:rsidRPr="00D26DCC">
              <w:rPr>
                <w:iCs/>
              </w:rPr>
              <w:t>First Homes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4C333E6" w14:textId="07A70239" w:rsidR="00967573" w:rsidRPr="00BB3B52" w:rsidRDefault="00483643" w:rsidP="00BB3B52">
            <w:pPr>
              <w:pStyle w:val="BodyText"/>
              <w:jc w:val="right"/>
              <w:cnfStyle w:val="000000000000" w:firstRow="0" w:lastRow="0" w:firstColumn="0" w:lastColumn="0" w:oddVBand="0" w:evenVBand="0" w:oddHBand="0" w:evenHBand="0" w:firstRowFirstColumn="0" w:firstRowLastColumn="0" w:lastRowFirstColumn="0" w:lastRowLastColumn="0"/>
            </w:pPr>
            <w:r>
              <w:t>5-10</w:t>
            </w:r>
            <w:r w:rsidR="00967573" w:rsidRPr="00BB3B52">
              <w:t>%</w:t>
            </w:r>
          </w:p>
        </w:tc>
        <w:tc>
          <w:tcPr>
            <w:tcW w:w="4589" w:type="dxa"/>
            <w:tcBorders>
              <w:top w:val="single" w:sz="4" w:space="0" w:color="auto"/>
              <w:left w:val="single" w:sz="4" w:space="0" w:color="auto"/>
              <w:bottom w:val="single" w:sz="4" w:space="0" w:color="auto"/>
              <w:right w:val="single" w:sz="4" w:space="0" w:color="auto"/>
            </w:tcBorders>
          </w:tcPr>
          <w:p w14:paraId="6FAAB493" w14:textId="17D4C776" w:rsidR="00967573" w:rsidRDefault="00967573" w:rsidP="00252C91">
            <w:pPr>
              <w:pStyle w:val="BodyText"/>
              <w:jc w:val="both"/>
              <w:cnfStyle w:val="000000000000" w:firstRow="0" w:lastRow="0" w:firstColumn="0" w:lastColumn="0" w:oddVBand="0" w:evenVBand="0" w:oddHBand="0" w:evenHBand="0" w:firstRowFirstColumn="0" w:firstRowLastColumn="0" w:lastRowFirstColumn="0" w:lastRowLastColumn="0"/>
            </w:pPr>
            <w:r w:rsidRPr="00D26DCC">
              <w:rPr>
                <w:iCs/>
              </w:rPr>
              <w:t>Product untested so uncertainties around viability, developer, lenders and buyer appetite etc</w:t>
            </w:r>
            <w:r>
              <w:rPr>
                <w:iCs/>
              </w:rPr>
              <w:t>.</w:t>
            </w:r>
          </w:p>
        </w:tc>
      </w:tr>
      <w:tr w:rsidR="00967573" w14:paraId="50AD4BD9" w14:textId="77777777" w:rsidTr="00BB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vAlign w:val="center"/>
          </w:tcPr>
          <w:p w14:paraId="66D413AD" w14:textId="58F4C8C4" w:rsidR="00967573" w:rsidRDefault="00967573" w:rsidP="00252C91">
            <w:pPr>
              <w:pStyle w:val="BodyText"/>
              <w:jc w:val="both"/>
            </w:pPr>
            <w:r w:rsidRPr="00D26DCC">
              <w:rPr>
                <w:iCs/>
              </w:rPr>
              <w:t xml:space="preserve">Shared ownership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103C3DD" w14:textId="4A52E32B" w:rsidR="00967573" w:rsidRPr="00BB3B52" w:rsidRDefault="00483643" w:rsidP="00BB3B52">
            <w:pPr>
              <w:pStyle w:val="BodyText"/>
              <w:jc w:val="right"/>
              <w:cnfStyle w:val="000000100000" w:firstRow="0" w:lastRow="0" w:firstColumn="0" w:lastColumn="0" w:oddVBand="0" w:evenVBand="0" w:oddHBand="1" w:evenHBand="0" w:firstRowFirstColumn="0" w:firstRowLastColumn="0" w:lastRowFirstColumn="0" w:lastRowLastColumn="0"/>
            </w:pPr>
            <w:r>
              <w:t>5-10</w:t>
            </w:r>
            <w:r w:rsidR="00967573" w:rsidRPr="00BB3B52">
              <w:t>%</w:t>
            </w:r>
          </w:p>
        </w:tc>
        <w:tc>
          <w:tcPr>
            <w:tcW w:w="4589" w:type="dxa"/>
            <w:tcBorders>
              <w:top w:val="single" w:sz="4" w:space="0" w:color="auto"/>
              <w:left w:val="single" w:sz="4" w:space="0" w:color="auto"/>
              <w:bottom w:val="single" w:sz="4" w:space="0" w:color="auto"/>
              <w:right w:val="single" w:sz="4" w:space="0" w:color="auto"/>
            </w:tcBorders>
          </w:tcPr>
          <w:p w14:paraId="073E02F4" w14:textId="77777777" w:rsidR="00967573" w:rsidRPr="00D26DCC" w:rsidRDefault="00967573" w:rsidP="00252C91">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Pr>
                <w:iCs/>
              </w:rPr>
              <w:t xml:space="preserve">Recently confirmed </w:t>
            </w:r>
            <w:r w:rsidRPr="00D26DCC">
              <w:rPr>
                <w:iCs/>
              </w:rPr>
              <w:t>changes to the model to allow purchases of 10%</w:t>
            </w:r>
            <w:r>
              <w:rPr>
                <w:iCs/>
              </w:rPr>
              <w:t xml:space="preserve"> share</w:t>
            </w:r>
            <w:r w:rsidRPr="00D26DCC">
              <w:rPr>
                <w:iCs/>
              </w:rPr>
              <w:t xml:space="preserve"> - impact on viability unknown</w:t>
            </w:r>
            <w:r>
              <w:rPr>
                <w:iCs/>
              </w:rPr>
              <w:t>.</w:t>
            </w:r>
          </w:p>
          <w:p w14:paraId="387DE454" w14:textId="71040887" w:rsidR="00967573" w:rsidRDefault="00967573" w:rsidP="00252C91">
            <w:pPr>
              <w:pStyle w:val="BodyText"/>
              <w:jc w:val="both"/>
              <w:cnfStyle w:val="000000100000" w:firstRow="0" w:lastRow="0" w:firstColumn="0" w:lastColumn="0" w:oddVBand="0" w:evenVBand="0" w:oddHBand="1" w:evenHBand="0" w:firstRowFirstColumn="0" w:firstRowLastColumn="0" w:lastRowFirstColumn="0" w:lastRowLastColumn="0"/>
            </w:pPr>
            <w:r w:rsidRPr="00D26DCC">
              <w:rPr>
                <w:iCs/>
              </w:rPr>
              <w:t>RPs business plans currently reliant on shared ownership model. Impact of displacement by First Homes unknown.</w:t>
            </w:r>
          </w:p>
        </w:tc>
      </w:tr>
      <w:tr w:rsidR="00967573" w14:paraId="12296BA1" w14:textId="77777777" w:rsidTr="00BB3B52">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vAlign w:val="center"/>
          </w:tcPr>
          <w:p w14:paraId="1EAA441B" w14:textId="42C82498" w:rsidR="00967573" w:rsidRDefault="00967573" w:rsidP="00252C91">
            <w:pPr>
              <w:pStyle w:val="BodyText"/>
              <w:jc w:val="both"/>
            </w:pPr>
            <w:r w:rsidRPr="00D26DCC">
              <w:rPr>
                <w:iCs/>
              </w:rPr>
              <w:t xml:space="preserve">Rent to </w:t>
            </w:r>
            <w:r>
              <w:rPr>
                <w:iCs/>
              </w:rPr>
              <w:t>B</w:t>
            </w:r>
            <w:r w:rsidRPr="00D26DCC">
              <w:rPr>
                <w:iCs/>
              </w:rPr>
              <w:t>uy</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5038F16" w14:textId="2E8E136D" w:rsidR="00967573" w:rsidRPr="00BB3B52" w:rsidRDefault="004A6040" w:rsidP="00BB3B52">
            <w:pPr>
              <w:pStyle w:val="BodyText"/>
              <w:jc w:val="right"/>
              <w:cnfStyle w:val="000000000000" w:firstRow="0" w:lastRow="0" w:firstColumn="0" w:lastColumn="0" w:oddVBand="0" w:evenVBand="0" w:oddHBand="0" w:evenHBand="0" w:firstRowFirstColumn="0" w:firstRowLastColumn="0" w:lastRowFirstColumn="0" w:lastRowLastColumn="0"/>
            </w:pPr>
            <w:r w:rsidRPr="00BB3B52">
              <w:t>0-5</w:t>
            </w:r>
            <w:r w:rsidR="00967573" w:rsidRPr="00BB3B52">
              <w:t>%</w:t>
            </w:r>
          </w:p>
        </w:tc>
        <w:tc>
          <w:tcPr>
            <w:tcW w:w="4589" w:type="dxa"/>
            <w:tcBorders>
              <w:top w:val="single" w:sz="4" w:space="0" w:color="auto"/>
              <w:left w:val="single" w:sz="4" w:space="0" w:color="auto"/>
              <w:bottom w:val="single" w:sz="4" w:space="0" w:color="auto"/>
              <w:right w:val="single" w:sz="4" w:space="0" w:color="auto"/>
            </w:tcBorders>
          </w:tcPr>
          <w:p w14:paraId="4EF50E3E" w14:textId="77777777" w:rsidR="00967573" w:rsidRPr="00D26DCC" w:rsidRDefault="00967573" w:rsidP="00252C91">
            <w:pPr>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D26DCC">
              <w:rPr>
                <w:iCs/>
              </w:rPr>
              <w:t xml:space="preserve">Emerging product with popularity and effectiveness </w:t>
            </w:r>
            <w:proofErr w:type="gramStart"/>
            <w:r w:rsidRPr="00D26DCC">
              <w:rPr>
                <w:iCs/>
              </w:rPr>
              <w:t>as yet</w:t>
            </w:r>
            <w:proofErr w:type="gramEnd"/>
            <w:r w:rsidRPr="00D26DCC">
              <w:rPr>
                <w:iCs/>
              </w:rPr>
              <w:t xml:space="preserve"> unknown</w:t>
            </w:r>
            <w:r>
              <w:rPr>
                <w:iCs/>
              </w:rPr>
              <w:t>.</w:t>
            </w:r>
          </w:p>
          <w:p w14:paraId="7494F935" w14:textId="2A30315F" w:rsidR="00967573" w:rsidRDefault="00967573" w:rsidP="00252C91">
            <w:pPr>
              <w:pStyle w:val="BodyText"/>
              <w:jc w:val="both"/>
              <w:cnfStyle w:val="000000000000" w:firstRow="0" w:lastRow="0" w:firstColumn="0" w:lastColumn="0" w:oddVBand="0" w:evenVBand="0" w:oddHBand="0" w:evenHBand="0" w:firstRowFirstColumn="0" w:firstRowLastColumn="0" w:lastRowFirstColumn="0" w:lastRowLastColumn="0"/>
            </w:pPr>
            <w:r w:rsidRPr="00D26DCC">
              <w:rPr>
                <w:iCs/>
              </w:rPr>
              <w:t>Impact of displacement by First Homes unknown</w:t>
            </w:r>
            <w:r>
              <w:rPr>
                <w:iCs/>
              </w:rPr>
              <w:t>.</w:t>
            </w:r>
          </w:p>
        </w:tc>
      </w:tr>
      <w:tr w:rsidR="00967573" w14:paraId="2F240A11" w14:textId="77777777" w:rsidTr="00BB3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vAlign w:val="center"/>
          </w:tcPr>
          <w:p w14:paraId="1D8DCF5D" w14:textId="15E2E2FB" w:rsidR="00967573" w:rsidRDefault="00967573" w:rsidP="00252C91">
            <w:pPr>
              <w:pStyle w:val="BodyText"/>
              <w:jc w:val="both"/>
            </w:pPr>
            <w:r w:rsidRPr="00D26DCC">
              <w:t>Affordable Housing for rent, of which</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458E59F" w14:textId="49B4A1E0" w:rsidR="00967573" w:rsidRPr="00BB3B52" w:rsidRDefault="004A6040" w:rsidP="00BB3B52">
            <w:pPr>
              <w:pStyle w:val="BodyText"/>
              <w:jc w:val="right"/>
              <w:cnfStyle w:val="000000100000" w:firstRow="0" w:lastRow="0" w:firstColumn="0" w:lastColumn="0" w:oddVBand="0" w:evenVBand="0" w:oddHBand="1" w:evenHBand="0" w:firstRowFirstColumn="0" w:firstRowLastColumn="0" w:lastRowFirstColumn="0" w:lastRowLastColumn="0"/>
            </w:pPr>
            <w:r w:rsidRPr="00BB3B52">
              <w:rPr>
                <w:b/>
                <w:bCs/>
              </w:rPr>
              <w:t>65</w:t>
            </w:r>
            <w:r w:rsidR="00967573" w:rsidRPr="00BB3B52">
              <w:rPr>
                <w:b/>
                <w:bCs/>
              </w:rPr>
              <w:t>%</w:t>
            </w:r>
          </w:p>
        </w:tc>
        <w:tc>
          <w:tcPr>
            <w:tcW w:w="4589" w:type="dxa"/>
            <w:tcBorders>
              <w:top w:val="single" w:sz="4" w:space="0" w:color="auto"/>
              <w:left w:val="single" w:sz="4" w:space="0" w:color="auto"/>
              <w:bottom w:val="single" w:sz="4" w:space="0" w:color="auto"/>
              <w:right w:val="single" w:sz="4" w:space="0" w:color="auto"/>
            </w:tcBorders>
          </w:tcPr>
          <w:p w14:paraId="416DDF80" w14:textId="77777777" w:rsidR="00967573" w:rsidRDefault="00967573" w:rsidP="00252C91">
            <w:pPr>
              <w:pStyle w:val="BodyText"/>
              <w:jc w:val="both"/>
              <w:cnfStyle w:val="000000100000" w:firstRow="0" w:lastRow="0" w:firstColumn="0" w:lastColumn="0" w:oddVBand="0" w:evenVBand="0" w:oddHBand="1" w:evenHBand="0" w:firstRowFirstColumn="0" w:firstRowLastColumn="0" w:lastRowFirstColumn="0" w:lastRowLastColumn="0"/>
            </w:pPr>
          </w:p>
        </w:tc>
      </w:tr>
      <w:tr w:rsidR="00967573" w14:paraId="6B034473" w14:textId="77777777" w:rsidTr="00967573">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vAlign w:val="center"/>
          </w:tcPr>
          <w:p w14:paraId="14A2FC7B" w14:textId="41986F16" w:rsidR="00967573" w:rsidRDefault="00967573" w:rsidP="00252C91">
            <w:pPr>
              <w:pStyle w:val="BodyText"/>
              <w:jc w:val="both"/>
            </w:pPr>
            <w:r w:rsidRPr="00D26DCC">
              <w:rPr>
                <w:iCs/>
              </w:rPr>
              <w:t xml:space="preserve">Social rent </w:t>
            </w:r>
          </w:p>
        </w:tc>
        <w:tc>
          <w:tcPr>
            <w:tcW w:w="2126" w:type="dxa"/>
            <w:tcBorders>
              <w:top w:val="single" w:sz="4" w:space="0" w:color="auto"/>
              <w:left w:val="single" w:sz="4" w:space="0" w:color="auto"/>
              <w:bottom w:val="single" w:sz="4" w:space="0" w:color="auto"/>
              <w:right w:val="single" w:sz="4" w:space="0" w:color="auto"/>
            </w:tcBorders>
            <w:vAlign w:val="center"/>
          </w:tcPr>
          <w:p w14:paraId="4BBCA70A" w14:textId="0FEA6B59" w:rsidR="00967573" w:rsidRDefault="00967573" w:rsidP="00252C91">
            <w:pPr>
              <w:pStyle w:val="BodyText"/>
              <w:jc w:val="both"/>
              <w:cnfStyle w:val="000000000000" w:firstRow="0" w:lastRow="0" w:firstColumn="0" w:lastColumn="0" w:oddVBand="0" w:evenVBand="0" w:oddHBand="0" w:evenHBand="0" w:firstRowFirstColumn="0" w:firstRowLastColumn="0" w:lastRowFirstColumn="0" w:lastRowLastColumn="0"/>
            </w:pPr>
            <w:r w:rsidRPr="00D26DCC">
              <w:rPr>
                <w:iCs/>
              </w:rPr>
              <w:t>To be set by Registered Providers</w:t>
            </w:r>
          </w:p>
        </w:tc>
        <w:tc>
          <w:tcPr>
            <w:tcW w:w="4589" w:type="dxa"/>
            <w:tcBorders>
              <w:top w:val="single" w:sz="4" w:space="0" w:color="auto"/>
              <w:left w:val="single" w:sz="4" w:space="0" w:color="auto"/>
              <w:bottom w:val="single" w:sz="4" w:space="0" w:color="auto"/>
              <w:right w:val="single" w:sz="4" w:space="0" w:color="auto"/>
            </w:tcBorders>
          </w:tcPr>
          <w:p w14:paraId="2F24EC55" w14:textId="77777777" w:rsidR="00967573" w:rsidRPr="00D26DCC" w:rsidRDefault="00967573" w:rsidP="00252C91">
            <w:pPr>
              <w:spacing w:line="276" w:lineRule="auto"/>
              <w:jc w:val="both"/>
              <w:cnfStyle w:val="000000000000" w:firstRow="0" w:lastRow="0" w:firstColumn="0" w:lastColumn="0" w:oddVBand="0" w:evenVBand="0" w:oddHBand="0" w:evenHBand="0" w:firstRowFirstColumn="0" w:firstRowLastColumn="0" w:lastRowFirstColumn="0" w:lastRowLastColumn="0"/>
              <w:rPr>
                <w:iCs/>
              </w:rPr>
            </w:pPr>
            <w:r w:rsidRPr="00D26DCC">
              <w:rPr>
                <w:iCs/>
              </w:rPr>
              <w:t>Uncertain how much funding available to support this tenure in local area</w:t>
            </w:r>
            <w:r>
              <w:rPr>
                <w:iCs/>
              </w:rPr>
              <w:t>.</w:t>
            </w:r>
          </w:p>
          <w:p w14:paraId="1F6118DB" w14:textId="368B38CB" w:rsidR="00967573" w:rsidRDefault="00967573" w:rsidP="00252C91">
            <w:pPr>
              <w:pStyle w:val="BodyText"/>
              <w:jc w:val="both"/>
              <w:cnfStyle w:val="000000000000" w:firstRow="0" w:lastRow="0" w:firstColumn="0" w:lastColumn="0" w:oddVBand="0" w:evenVBand="0" w:oddHBand="0" w:evenHBand="0" w:firstRowFirstColumn="0" w:firstRowLastColumn="0" w:lastRowFirstColumn="0" w:lastRowLastColumn="0"/>
            </w:pPr>
            <w:r w:rsidRPr="00D26DCC">
              <w:rPr>
                <w:iCs/>
              </w:rPr>
              <w:t>Uncertain whether RPs willing to own/manage stock in this area</w:t>
            </w:r>
            <w:r>
              <w:rPr>
                <w:iCs/>
              </w:rPr>
              <w:t>.</w:t>
            </w:r>
          </w:p>
        </w:tc>
      </w:tr>
      <w:tr w:rsidR="00967573" w14:paraId="32B5071B" w14:textId="77777777" w:rsidTr="00967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vAlign w:val="center"/>
          </w:tcPr>
          <w:p w14:paraId="33F7C93F" w14:textId="65DE743E" w:rsidR="00967573" w:rsidRPr="00D26DCC" w:rsidRDefault="00967573" w:rsidP="00252C91">
            <w:pPr>
              <w:pStyle w:val="BodyText"/>
              <w:jc w:val="both"/>
              <w:rPr>
                <w:iCs/>
              </w:rPr>
            </w:pPr>
            <w:r w:rsidRPr="00D26DCC">
              <w:rPr>
                <w:iCs/>
              </w:rPr>
              <w:t>Affordable rent</w:t>
            </w:r>
          </w:p>
        </w:tc>
        <w:tc>
          <w:tcPr>
            <w:tcW w:w="2126" w:type="dxa"/>
            <w:tcBorders>
              <w:top w:val="single" w:sz="4" w:space="0" w:color="auto"/>
              <w:left w:val="single" w:sz="4" w:space="0" w:color="auto"/>
              <w:bottom w:val="single" w:sz="4" w:space="0" w:color="auto"/>
              <w:right w:val="single" w:sz="4" w:space="0" w:color="auto"/>
            </w:tcBorders>
            <w:vAlign w:val="center"/>
          </w:tcPr>
          <w:p w14:paraId="43F03BB8" w14:textId="221E5BC5" w:rsidR="00967573" w:rsidRPr="00D26DCC" w:rsidRDefault="00967573" w:rsidP="00252C91">
            <w:pPr>
              <w:pStyle w:val="BodyText"/>
              <w:jc w:val="both"/>
              <w:cnfStyle w:val="000000100000" w:firstRow="0" w:lastRow="0" w:firstColumn="0" w:lastColumn="0" w:oddVBand="0" w:evenVBand="0" w:oddHBand="1" w:evenHBand="0" w:firstRowFirstColumn="0" w:firstRowLastColumn="0" w:lastRowFirstColumn="0" w:lastRowLastColumn="0"/>
              <w:rPr>
                <w:iCs/>
              </w:rPr>
            </w:pPr>
            <w:r w:rsidRPr="00D26DCC">
              <w:rPr>
                <w:iCs/>
              </w:rPr>
              <w:t>To be set by Registered Providers</w:t>
            </w:r>
          </w:p>
        </w:tc>
        <w:tc>
          <w:tcPr>
            <w:tcW w:w="4589" w:type="dxa"/>
            <w:tcBorders>
              <w:top w:val="single" w:sz="4" w:space="0" w:color="auto"/>
              <w:left w:val="single" w:sz="4" w:space="0" w:color="auto"/>
              <w:bottom w:val="single" w:sz="4" w:space="0" w:color="auto"/>
              <w:right w:val="single" w:sz="4" w:space="0" w:color="auto"/>
            </w:tcBorders>
          </w:tcPr>
          <w:p w14:paraId="722FE6C5" w14:textId="01B367F7" w:rsidR="00967573" w:rsidRPr="00D26DCC" w:rsidRDefault="00967573" w:rsidP="00252C91">
            <w:pPr>
              <w:spacing w:line="276" w:lineRule="auto"/>
              <w:jc w:val="both"/>
              <w:cnfStyle w:val="000000100000" w:firstRow="0" w:lastRow="0" w:firstColumn="0" w:lastColumn="0" w:oddVBand="0" w:evenVBand="0" w:oddHBand="1" w:evenHBand="0" w:firstRowFirstColumn="0" w:firstRowLastColumn="0" w:lastRowFirstColumn="0" w:lastRowLastColumn="0"/>
              <w:rPr>
                <w:iCs/>
              </w:rPr>
            </w:pPr>
            <w:r w:rsidRPr="00D26DCC">
              <w:rPr>
                <w:iCs/>
              </w:rPr>
              <w:t>Uncertain whether RPs willing to own/manage stock in this area</w:t>
            </w:r>
            <w:r>
              <w:rPr>
                <w:iCs/>
              </w:rPr>
              <w:t>.</w:t>
            </w:r>
          </w:p>
        </w:tc>
      </w:tr>
    </w:tbl>
    <w:p w14:paraId="387E33C2" w14:textId="77777777" w:rsidR="003B3C47" w:rsidRDefault="003B3C47" w:rsidP="00252C91">
      <w:pPr>
        <w:pStyle w:val="Source"/>
        <w:jc w:val="both"/>
        <w:rPr>
          <w:lang w:val="en-US"/>
        </w:rPr>
      </w:pPr>
      <w:r w:rsidRPr="001568F4">
        <w:rPr>
          <w:lang w:val="en-US"/>
        </w:rPr>
        <w:t>Source: AECOM calculations</w:t>
      </w:r>
    </w:p>
    <w:p w14:paraId="5C9472B7" w14:textId="425ED945" w:rsidR="003B3C47" w:rsidRPr="00764F1A" w:rsidRDefault="003B3C47" w:rsidP="00252C91">
      <w:pPr>
        <w:pStyle w:val="Heading2"/>
        <w:jc w:val="both"/>
        <w:rPr>
          <w:color w:val="auto"/>
        </w:rPr>
      </w:pPr>
      <w:bookmarkStart w:id="111" w:name="_Toc102731860"/>
      <w:r w:rsidRPr="00764F1A">
        <w:rPr>
          <w:color w:val="auto"/>
        </w:rPr>
        <w:lastRenderedPageBreak/>
        <w:t>Conclusions- Affordability</w:t>
      </w:r>
      <w:bookmarkEnd w:id="110"/>
      <w:bookmarkEnd w:id="111"/>
      <w:r w:rsidR="00BB15FB" w:rsidRPr="00764F1A">
        <w:rPr>
          <w:color w:val="auto"/>
        </w:rPr>
        <w:t xml:space="preserve"> and Affordable Housing</w:t>
      </w:r>
    </w:p>
    <w:p w14:paraId="4601BD22" w14:textId="77777777" w:rsidR="003B3C47" w:rsidRPr="00764F1A" w:rsidRDefault="003B3C47" w:rsidP="00252C91">
      <w:pPr>
        <w:pStyle w:val="Heading4"/>
        <w:jc w:val="both"/>
        <w:rPr>
          <w:color w:val="auto"/>
        </w:rPr>
      </w:pPr>
      <w:bookmarkStart w:id="112" w:name="_Hlk21429429"/>
      <w:r w:rsidRPr="00764F1A">
        <w:rPr>
          <w:color w:val="auto"/>
        </w:rPr>
        <w:t>Current tenure profile</w:t>
      </w:r>
    </w:p>
    <w:p w14:paraId="120B5C40" w14:textId="5345E60A" w:rsidR="00D4328D" w:rsidRDefault="00D4328D" w:rsidP="00B84956">
      <w:pPr>
        <w:pStyle w:val="Numberedtext"/>
        <w:jc w:val="both"/>
      </w:pPr>
      <w:r>
        <w:t xml:space="preserve">Home ownership is the dominant tenure in Consett at 66% of all households, which is slightly higher </w:t>
      </w:r>
      <w:r w:rsidR="00A65206">
        <w:t>than</w:t>
      </w:r>
      <w:r>
        <w:t xml:space="preserve"> the average across County Durham. Of the remaining households, the proportion of the Consett population living in private rented homes (18%) is broadly comparable to the county average. However, there is a smaller proportion of people living in social rented homes (16%) than is common across County Durham (20%). </w:t>
      </w:r>
    </w:p>
    <w:p w14:paraId="4BC19559" w14:textId="6D9D59BE" w:rsidR="003B3C47" w:rsidRPr="00764F1A" w:rsidRDefault="00D4328D" w:rsidP="00B84956">
      <w:pPr>
        <w:pStyle w:val="Numberedtext"/>
        <w:jc w:val="both"/>
      </w:pPr>
      <w:r>
        <w:t xml:space="preserve">In terms of how the tenure profile in Consett has changed over the last decade, there has been a significant increase in the proportion of the Consett population living in privately rented homes (+34%). This </w:t>
      </w:r>
      <w:proofErr w:type="gramStart"/>
      <w:r>
        <w:t>is in contrast to</w:t>
      </w:r>
      <w:proofErr w:type="gramEnd"/>
      <w:r>
        <w:t xml:space="preserve"> slower growth in both the number of new </w:t>
      </w:r>
      <w:r w:rsidR="00A163FC">
        <w:t>homeowners</w:t>
      </w:r>
      <w:r>
        <w:t xml:space="preserve"> and </w:t>
      </w:r>
      <w:r w:rsidR="00A163FC">
        <w:t xml:space="preserve">the delivery of new </w:t>
      </w:r>
      <w:r>
        <w:t xml:space="preserve">social rented homes. </w:t>
      </w:r>
    </w:p>
    <w:p w14:paraId="5C8B428F" w14:textId="77777777" w:rsidR="003B3C47" w:rsidRPr="00764F1A" w:rsidRDefault="003B3C47" w:rsidP="00B84956">
      <w:pPr>
        <w:pStyle w:val="Heading4"/>
        <w:jc w:val="both"/>
        <w:rPr>
          <w:color w:val="auto"/>
        </w:rPr>
      </w:pPr>
      <w:r w:rsidRPr="00764F1A">
        <w:rPr>
          <w:color w:val="auto"/>
        </w:rPr>
        <w:t>Affordability</w:t>
      </w:r>
    </w:p>
    <w:p w14:paraId="77F9FF23" w14:textId="77777777" w:rsidR="008E72F2" w:rsidRPr="008C3E79" w:rsidRDefault="008E72F2" w:rsidP="00B84956">
      <w:pPr>
        <w:pStyle w:val="Numberedtext"/>
        <w:jc w:val="both"/>
      </w:pPr>
      <w:r>
        <w:t xml:space="preserve">Home values in Consett have followed a clear upward growth over the last decade. The current median house price (middle number when arranged from lowest to highest) is £128,000, which is 22% higher than the median in 2013. The lower quartile price (the lowest 25% of prices, used as a good proxy for entry-level housing) sits at £84,000 and is 12% higher than the 2013 LQ figure. </w:t>
      </w:r>
    </w:p>
    <w:p w14:paraId="4CBDD015" w14:textId="3ECB483D" w:rsidR="008E72F2" w:rsidRPr="002B6AEE" w:rsidRDefault="008E72F2" w:rsidP="00B84956">
      <w:pPr>
        <w:pStyle w:val="Numberedtext"/>
        <w:jc w:val="both"/>
      </w:pPr>
      <w:r w:rsidRPr="002B6AEE">
        <w:t xml:space="preserve">It is worth noting that the current median house price in Consett is slightly more expensive than the current median for </w:t>
      </w:r>
      <w:r w:rsidR="004A5BE5">
        <w:t>County Durham</w:t>
      </w:r>
      <w:r w:rsidRPr="002B6AEE">
        <w:t xml:space="preserve"> as a whole. </w:t>
      </w:r>
    </w:p>
    <w:p w14:paraId="28E4A4E6" w14:textId="77777777" w:rsidR="008E72F2" w:rsidRDefault="008E72F2" w:rsidP="00B84956">
      <w:pPr>
        <w:pStyle w:val="Numberedtext"/>
        <w:jc w:val="both"/>
      </w:pPr>
      <w:r w:rsidRPr="00F54BBE">
        <w:t xml:space="preserve">AECOM has estimated the annual income required to afford various tenures of housing in Consett. These thresholds are compared to local incomes to determine which options are the most appropriate for local people going forward. The average household income in the NA was £38,750 in 2020, and the lower quartile income (per person) was £17,800. </w:t>
      </w:r>
    </w:p>
    <w:p w14:paraId="6696DB47" w14:textId="77777777" w:rsidR="008E72F2" w:rsidRDefault="008E72F2" w:rsidP="00B84956">
      <w:pPr>
        <w:pStyle w:val="Numberedtext"/>
        <w:jc w:val="both"/>
      </w:pPr>
      <w:r>
        <w:t xml:space="preserve">It was found that house prices in Consett are generally affordable to households with average incomes. The median house price would require an annual income around 18% below the current average. For households made up of two lower earners, median house prices are 8% below their estimated income threshold. However, house prices are generally out of reach of households made up of one lower earner. </w:t>
      </w:r>
    </w:p>
    <w:p w14:paraId="446716D3" w14:textId="0C9F124D" w:rsidR="008E72F2" w:rsidRPr="00F54BBE" w:rsidRDefault="008E72F2" w:rsidP="00B84956">
      <w:pPr>
        <w:pStyle w:val="Numberedtext"/>
        <w:jc w:val="both"/>
      </w:pPr>
      <w:r>
        <w:t>Private renting is slightly less affordable</w:t>
      </w:r>
      <w:r w:rsidR="00A8521C">
        <w:t xml:space="preserve"> than home ownership</w:t>
      </w:r>
      <w:r>
        <w:t xml:space="preserve">, average earning households could afford average rents, but these would be out of reach for households made up of two lower earners. Both income groups could comfortably entry level rents, but all the given private rental thresholds are out of reach for households made up of one lower earner. </w:t>
      </w:r>
    </w:p>
    <w:p w14:paraId="23AEAF03" w14:textId="14DC07B8" w:rsidR="00CA0EAE" w:rsidRPr="00211D8E" w:rsidRDefault="00CA0EAE" w:rsidP="00CA0EAE">
      <w:pPr>
        <w:pStyle w:val="Numberedtext"/>
        <w:jc w:val="both"/>
      </w:pPr>
      <w:r w:rsidRPr="00211D8E">
        <w:t xml:space="preserve">Subsidised routes to home ownership like First Homes and shared ownership are intended to target people who can afford to rent but not to buy. In Consett, the income required to </w:t>
      </w:r>
      <w:proofErr w:type="gramStart"/>
      <w:r w:rsidRPr="00211D8E">
        <w:t>buy</w:t>
      </w:r>
      <w:proofErr w:type="gramEnd"/>
      <w:r w:rsidRPr="00211D8E">
        <w:t xml:space="preserve"> and rent is broadly the same</w:t>
      </w:r>
      <w:r w:rsidR="008D218F">
        <w:t>,</w:t>
      </w:r>
      <w:r w:rsidRPr="00211D8E">
        <w:t xml:space="preserve"> meaning it is difficult to define who may benefit from Affordable Home ownership products. However, given the relative affordability of sale options for average and lower earning households, it is likely that access to a deposit is a significant barrier to home ownership for these groups. </w:t>
      </w:r>
    </w:p>
    <w:p w14:paraId="65854FDF" w14:textId="4F4C6448" w:rsidR="003B3C47" w:rsidRPr="00764F1A" w:rsidRDefault="008E72F2" w:rsidP="00B84956">
      <w:pPr>
        <w:pStyle w:val="Numberedtext"/>
        <w:jc w:val="both"/>
      </w:pPr>
      <w:r w:rsidRPr="001922CB">
        <w:lastRenderedPageBreak/>
        <w:t xml:space="preserve">Both social and affordable rented housing appears generally affordable to households with a single lower earner on the basis of their earnings alone, but </w:t>
      </w:r>
      <w:proofErr w:type="gramStart"/>
      <w:r w:rsidRPr="001922CB">
        <w:t>low income</w:t>
      </w:r>
      <w:proofErr w:type="gramEnd"/>
      <w:r w:rsidRPr="001922CB">
        <w:t xml:space="preserve"> households may be entitled to housing benefit to support their rental costs depending on their particular circumstances.</w:t>
      </w:r>
    </w:p>
    <w:p w14:paraId="46561BBE" w14:textId="77777777" w:rsidR="003B3C47" w:rsidRPr="00764F1A" w:rsidRDefault="003B3C47" w:rsidP="00B84956">
      <w:pPr>
        <w:pStyle w:val="Heading4"/>
        <w:jc w:val="both"/>
        <w:rPr>
          <w:color w:val="auto"/>
        </w:rPr>
      </w:pPr>
      <w:r w:rsidRPr="00764F1A">
        <w:rPr>
          <w:color w:val="auto"/>
        </w:rPr>
        <w:t>The need for Affordable Housing</w:t>
      </w:r>
    </w:p>
    <w:p w14:paraId="707319EB" w14:textId="6769528B" w:rsidR="003B3C47" w:rsidRPr="00B65726" w:rsidRDefault="00C578F4" w:rsidP="0027560D">
      <w:pPr>
        <w:pStyle w:val="Numberedtext"/>
        <w:jc w:val="both"/>
      </w:pPr>
      <w:r w:rsidRPr="00C60545">
        <w:t>Following the county wide SHMA undertaken by County Durham in 2018, this study estimates the need for 62 homes per annum over the Consett Neighbourhood Plan period (2024 – 2040). The report does not provide a separate demand figure for Affordable Home ownership products</w:t>
      </w:r>
      <w:r w:rsidR="0027560D" w:rsidRPr="00C60545">
        <w:t xml:space="preserve">. </w:t>
      </w:r>
      <w:r w:rsidR="00D32DDE" w:rsidRPr="00B65726">
        <w:t xml:space="preserve">AECOM </w:t>
      </w:r>
      <w:proofErr w:type="gramStart"/>
      <w:r w:rsidR="00D32DDE" w:rsidRPr="00B65726">
        <w:t xml:space="preserve">modelling </w:t>
      </w:r>
      <w:r w:rsidR="0027560D" w:rsidRPr="00B65726">
        <w:t xml:space="preserve"> </w:t>
      </w:r>
      <w:r w:rsidR="00D32DDE" w:rsidRPr="00B65726">
        <w:t>suggests</w:t>
      </w:r>
      <w:proofErr w:type="gramEnd"/>
      <w:r w:rsidR="00D32DDE" w:rsidRPr="00B65726">
        <w:t xml:space="preserve"> that Consett has a robust long-term demand of 75.6 affordable home ownership dwellings per annum over the Neighbourhood Plan period. </w:t>
      </w:r>
      <w:r w:rsidR="00B65726" w:rsidRPr="00C60545">
        <w:t>The</w:t>
      </w:r>
      <w:r w:rsidR="00D32DDE" w:rsidRPr="00B65726">
        <w:t xml:space="preserve"> households eligible for affordable home ownership products typically do not necessarily lack their own housing but would prefer to buy rather than rent. They have been included in the national planning definition of those in need of Affordable Housing, but their needs are less acute than those on the waiting list for affordable rented housing.</w:t>
      </w:r>
    </w:p>
    <w:p w14:paraId="0AB63AAB" w14:textId="77777777" w:rsidR="003B3C47" w:rsidRPr="00764F1A" w:rsidRDefault="003B3C47" w:rsidP="00B84956">
      <w:pPr>
        <w:pStyle w:val="Heading4"/>
        <w:jc w:val="both"/>
        <w:rPr>
          <w:color w:val="auto"/>
        </w:rPr>
      </w:pPr>
      <w:r w:rsidRPr="00764F1A">
        <w:rPr>
          <w:color w:val="auto"/>
        </w:rPr>
        <w:t>Affordable Housing policy</w:t>
      </w:r>
    </w:p>
    <w:p w14:paraId="4FDAEFBE" w14:textId="77777777" w:rsidR="00B84956" w:rsidRPr="00EC4FA2" w:rsidRDefault="00B84956" w:rsidP="00B84956">
      <w:pPr>
        <w:pStyle w:val="Numberedtext"/>
        <w:jc w:val="both"/>
      </w:pPr>
      <w:r w:rsidRPr="00EC4FA2">
        <w:t xml:space="preserve">Affordable Housing is typically provided and made financially viable by Local and Neighbourhood Plan policies that require it to be included at a set proportion of market housing developments. The adopted County Durham Plan policy on this subject requires between 10% and 25% of all new housing to be affordable, depending on the location of sites in local policy map of housing ‘viability </w:t>
      </w:r>
      <w:proofErr w:type="gramStart"/>
      <w:r w:rsidRPr="00EC4FA2">
        <w:t>areas’</w:t>
      </w:r>
      <w:proofErr w:type="gramEnd"/>
      <w:r w:rsidRPr="00EC4FA2">
        <w:t xml:space="preserve">. For Consett, the NA boundary contains high, medium and low value areas capable of delivering a contribution of between 10% and 20%. </w:t>
      </w:r>
    </w:p>
    <w:p w14:paraId="1D2C29C3" w14:textId="29AE8CCB" w:rsidR="00B84956" w:rsidRPr="00B95B3F" w:rsidRDefault="00B84956" w:rsidP="00B84956">
      <w:pPr>
        <w:pStyle w:val="Numberedtext"/>
        <w:jc w:val="both"/>
      </w:pPr>
      <w:r w:rsidRPr="00B95B3F">
        <w:t xml:space="preserve">AECOM recommends that the tenure mix of Affordable Housing secured in future years is weighted in favor of meeting </w:t>
      </w:r>
      <w:proofErr w:type="gramStart"/>
      <w:r w:rsidRPr="00B95B3F">
        <w:t>a majority of</w:t>
      </w:r>
      <w:proofErr w:type="gramEnd"/>
      <w:r w:rsidRPr="00B95B3F">
        <w:t xml:space="preserve"> the need for social/affordable rental homes. It can be assumed that the need identified for social/affordable rental is more acute, leaving households who require these types of homes with very few alternative housing choices. </w:t>
      </w:r>
    </w:p>
    <w:p w14:paraId="1A0AC7DE" w14:textId="5DA1D5CB" w:rsidR="002D7F13" w:rsidRDefault="00B84956" w:rsidP="002D7F13">
      <w:pPr>
        <w:pStyle w:val="Numberedtext"/>
        <w:jc w:val="both"/>
      </w:pPr>
      <w:r w:rsidRPr="00B95B3F">
        <w:t xml:space="preserve">As such, this HNA would recommend a tenure split of </w:t>
      </w:r>
      <w:r w:rsidR="00FB3E86">
        <w:t>7</w:t>
      </w:r>
      <w:r w:rsidRPr="00B95B3F">
        <w:t xml:space="preserve">5% social/affordable rental and </w:t>
      </w:r>
      <w:r w:rsidR="00FB3E86">
        <w:t>2</w:t>
      </w:r>
      <w:r w:rsidRPr="00B95B3F">
        <w:t xml:space="preserve">5% affordable home ownership. This indicative tenure mix deviates from the adopted district wide policy but is a response to the modelling results alongside the unique characteristics of Consett. </w:t>
      </w:r>
    </w:p>
    <w:p w14:paraId="2245EB76" w14:textId="77777777" w:rsidR="00B84956" w:rsidRPr="00B95B3F" w:rsidRDefault="00B84956" w:rsidP="00B84956">
      <w:pPr>
        <w:pStyle w:val="Numberedtext"/>
        <w:jc w:val="both"/>
      </w:pPr>
      <w:r w:rsidRPr="00B95B3F">
        <w:t>There is no obligation to follow this recommendation or to depart from adopted Local Plan policy if that is more in line with the community’s objectives. Further discussion with County Durham Council about the options and their advice would be beneficial and could cover issues beyond the scope of this report, such as development viability.</w:t>
      </w:r>
    </w:p>
    <w:p w14:paraId="2F97432C" w14:textId="5F7B4836" w:rsidR="003B3C47" w:rsidRPr="000B15B3" w:rsidRDefault="00B84956" w:rsidP="00B84956">
      <w:pPr>
        <w:pStyle w:val="Numberedtext"/>
        <w:jc w:val="both"/>
      </w:pPr>
      <w:r w:rsidRPr="00B95B3F">
        <w:t>Affordable housing is typically provided and made financially viable by its inclusion as a proportion of larger market developments, as guided by Local Plan policy. However, if the community wishes to boost the supply of affordable housing, there are other, more proactive routes available for its provision. For example, using neighbourhood development orders, identifying exception sites or developing community land trusts are all ways of boosting the supply of affordable housing.</w:t>
      </w:r>
      <w:bookmarkEnd w:id="112"/>
      <w:r w:rsidR="003B3C47">
        <w:br w:type="page"/>
      </w:r>
    </w:p>
    <w:p w14:paraId="58F8BEC8" w14:textId="77777777" w:rsidR="003B3C47" w:rsidRPr="00764F1A" w:rsidRDefault="003B3C47" w:rsidP="00252C91">
      <w:pPr>
        <w:pStyle w:val="Heading1"/>
        <w:jc w:val="both"/>
        <w:rPr>
          <w:color w:val="auto"/>
        </w:rPr>
      </w:pPr>
      <w:bookmarkStart w:id="113" w:name="_Toc31722653"/>
      <w:bookmarkStart w:id="114" w:name="_Toc102731861"/>
      <w:bookmarkStart w:id="115" w:name="_Toc170398388"/>
      <w:bookmarkStart w:id="116" w:name="_Toc185339913"/>
      <w:r w:rsidRPr="00764F1A">
        <w:rPr>
          <w:color w:val="auto"/>
        </w:rPr>
        <w:lastRenderedPageBreak/>
        <w:t>Type and Size</w:t>
      </w:r>
      <w:bookmarkEnd w:id="113"/>
      <w:bookmarkEnd w:id="114"/>
      <w:bookmarkEnd w:id="115"/>
      <w:bookmarkEnd w:id="116"/>
    </w:p>
    <w:p w14:paraId="18FF9432" w14:textId="77777777" w:rsidR="003B3C47" w:rsidRPr="00764F1A" w:rsidRDefault="003B3C47" w:rsidP="00252C91">
      <w:pPr>
        <w:pStyle w:val="Heading2"/>
        <w:jc w:val="both"/>
        <w:rPr>
          <w:color w:val="auto"/>
        </w:rPr>
      </w:pPr>
      <w:bookmarkStart w:id="117" w:name="_Toc31722654"/>
      <w:bookmarkStart w:id="118" w:name="_Toc102731862"/>
      <w:r w:rsidRPr="00764F1A">
        <w:rPr>
          <w:color w:val="auto"/>
        </w:rPr>
        <w:t>Introduction</w:t>
      </w:r>
      <w:bookmarkEnd w:id="117"/>
      <w:bookmarkEnd w:id="118"/>
    </w:p>
    <w:p w14:paraId="1FE5048E" w14:textId="77777777" w:rsidR="003B3C47" w:rsidRPr="00764F1A" w:rsidRDefault="003B3C47" w:rsidP="00252C91">
      <w:pPr>
        <w:pStyle w:val="Numberedtext"/>
        <w:jc w:val="both"/>
      </w:pPr>
      <w:r w:rsidRPr="00764F1A">
        <w:t xml:space="preserve">It is common for neighbourhood plans to include policies that influence what form new housing should take in terms of type and size. This requires evidence of what local people need. </w:t>
      </w:r>
    </w:p>
    <w:p w14:paraId="2FEC6C84" w14:textId="77777777" w:rsidR="003B3C47" w:rsidRPr="00764F1A" w:rsidRDefault="003B3C47" w:rsidP="00252C91">
      <w:pPr>
        <w:pStyle w:val="Numberedtext"/>
        <w:jc w:val="both"/>
      </w:pPr>
      <w:r w:rsidRPr="00764F1A">
        <w:t xml:space="preserve">This can be done using statistics to identify relevant trends and potential gaps in the market. That is the focus of this chapter of the HNA. The evidence gathered here can be used to justify planning policies either on </w:t>
      </w:r>
      <w:proofErr w:type="gramStart"/>
      <w:r w:rsidRPr="00764F1A">
        <w:t>its</w:t>
      </w:r>
      <w:proofErr w:type="gramEnd"/>
      <w:r w:rsidRPr="00764F1A">
        <w:t xml:space="preserve"> own or in combination with survey results expressing the specific wants and concerns of </w:t>
      </w:r>
      <w:proofErr w:type="gramStart"/>
      <w:r w:rsidRPr="00764F1A">
        <w:t>local residents</w:t>
      </w:r>
      <w:proofErr w:type="gramEnd"/>
      <w:r w:rsidRPr="00764F1A">
        <w:t xml:space="preserve">. It will also build up a picture of the population and existing range of homes that may provide useful context for the neighbourhood plan.    </w:t>
      </w:r>
    </w:p>
    <w:p w14:paraId="1C0BCEE2" w14:textId="77777777" w:rsidR="003B3C47" w:rsidRPr="00764F1A" w:rsidRDefault="003B3C47" w:rsidP="00252C91">
      <w:pPr>
        <w:pStyle w:val="Numberedtext"/>
        <w:jc w:val="both"/>
      </w:pPr>
      <w:r w:rsidRPr="00764F1A">
        <w:t>This chapter has three aims, each given its own sub-section:</w:t>
      </w:r>
    </w:p>
    <w:p w14:paraId="0C0C8028" w14:textId="77777777" w:rsidR="003B3C47" w:rsidRPr="00764F1A" w:rsidRDefault="003B3C47" w:rsidP="00252C91">
      <w:pPr>
        <w:pStyle w:val="ListBullet"/>
        <w:jc w:val="both"/>
      </w:pPr>
      <w:r w:rsidRPr="00764F1A">
        <w:t xml:space="preserve">To establish what </w:t>
      </w:r>
      <w:r w:rsidRPr="00764F1A">
        <w:rPr>
          <w:b/>
          <w:bCs/>
        </w:rPr>
        <w:t>mix</w:t>
      </w:r>
      <w:r w:rsidRPr="00764F1A">
        <w:t xml:space="preserve"> of housing exists in the NA at </w:t>
      </w:r>
      <w:proofErr w:type="gramStart"/>
      <w:r w:rsidRPr="00764F1A">
        <w:t>present;</w:t>
      </w:r>
      <w:proofErr w:type="gramEnd"/>
    </w:p>
    <w:p w14:paraId="569D4004" w14:textId="77777777" w:rsidR="003B3C47" w:rsidRPr="00764F1A" w:rsidRDefault="003B3C47" w:rsidP="00252C91">
      <w:pPr>
        <w:pStyle w:val="ListBullet"/>
        <w:jc w:val="both"/>
      </w:pPr>
      <w:r w:rsidRPr="00764F1A">
        <w:t xml:space="preserve">To describe characteristics of the local </w:t>
      </w:r>
      <w:r w:rsidRPr="00764F1A">
        <w:rPr>
          <w:b/>
          <w:bCs/>
        </w:rPr>
        <w:t>population</w:t>
      </w:r>
      <w:r w:rsidRPr="00764F1A">
        <w:t xml:space="preserve"> that are relevant to housing need; and</w:t>
      </w:r>
    </w:p>
    <w:p w14:paraId="69ADD036" w14:textId="77777777" w:rsidR="003B3C47" w:rsidRPr="00764F1A" w:rsidRDefault="003B3C47" w:rsidP="00252C91">
      <w:pPr>
        <w:pStyle w:val="ListBullet"/>
        <w:jc w:val="both"/>
      </w:pPr>
      <w:r w:rsidRPr="00764F1A">
        <w:t xml:space="preserve">To look to the </w:t>
      </w:r>
      <w:r w:rsidRPr="00764F1A">
        <w:rPr>
          <w:b/>
          <w:bCs/>
        </w:rPr>
        <w:t>future</w:t>
      </w:r>
      <w:r w:rsidRPr="00764F1A">
        <w:t>, considering how the population is likely to evolve and what mix of homes would be most appropriate to build.</w:t>
      </w:r>
    </w:p>
    <w:p w14:paraId="4C19A3FF" w14:textId="77777777" w:rsidR="003B3C47" w:rsidRPr="00764F1A" w:rsidRDefault="003B3C47" w:rsidP="00252C91">
      <w:pPr>
        <w:pStyle w:val="Numberedtext"/>
        <w:jc w:val="both"/>
      </w:pPr>
      <w:r w:rsidRPr="00764F1A">
        <w:t xml:space="preserve">It is important to keep in mind that housing need is not an exact science. To get from a set of facts about the population to an ideal mix of homes requires making assumptions. For example, there are clear patterns about what size of home families tend to live in at different stages of life. However, a variety of other reasons sit behind people’s housing choices that are less easy to predict, including wealth, accessibility requirements and personal preference. Some trends can also change rapidly over time, such as the increasing preference for home working. </w:t>
      </w:r>
    </w:p>
    <w:p w14:paraId="0EB55B8F" w14:textId="77777777" w:rsidR="003B3C47" w:rsidRPr="00764F1A" w:rsidRDefault="003B3C47" w:rsidP="00252C91">
      <w:pPr>
        <w:pStyle w:val="Numberedtext"/>
        <w:jc w:val="both"/>
      </w:pPr>
      <w:r w:rsidRPr="00764F1A">
        <w:t xml:space="preserve">The conclusions and recommendations given here are therefore not definitive. Rather, they are what the statistics suggest future needs will look like based on current trends. This is sufficient for justifying planning policies, but it is also appropriate to </w:t>
      </w:r>
      <w:proofErr w:type="gramStart"/>
      <w:r w:rsidRPr="00764F1A">
        <w:t>take into account</w:t>
      </w:r>
      <w:proofErr w:type="gramEnd"/>
      <w:r w:rsidRPr="00764F1A">
        <w:t xml:space="preserve"> other factors and evidence if desired.   </w:t>
      </w:r>
    </w:p>
    <w:p w14:paraId="5E864255" w14:textId="77777777" w:rsidR="003B3C47" w:rsidRPr="00764F1A" w:rsidRDefault="003B3C47" w:rsidP="00252C91">
      <w:pPr>
        <w:pStyle w:val="Heading3"/>
        <w:jc w:val="both"/>
        <w:rPr>
          <w:color w:val="auto"/>
        </w:rPr>
      </w:pPr>
      <w:r w:rsidRPr="00764F1A">
        <w:rPr>
          <w:color w:val="auto"/>
        </w:rPr>
        <w:t>Definitions</w:t>
      </w:r>
    </w:p>
    <w:p w14:paraId="5FAB985C" w14:textId="77777777" w:rsidR="003B3C47" w:rsidRPr="00764F1A" w:rsidRDefault="003B3C47" w:rsidP="00252C91">
      <w:pPr>
        <w:pStyle w:val="ListBullet"/>
        <w:jc w:val="both"/>
      </w:pPr>
      <w:r w:rsidRPr="00764F1A">
        <w:rPr>
          <w:b/>
          <w:bCs/>
        </w:rPr>
        <w:t>Dwelling type</w:t>
      </w:r>
      <w:r w:rsidRPr="00764F1A">
        <w:t>: whether a home is detached, semi-detached, terraced, a flat, bungalow or other type. Which a household chooses to occupy tends to be more about wealth and preference than a specific need.</w:t>
      </w:r>
    </w:p>
    <w:p w14:paraId="5500E753" w14:textId="77777777" w:rsidR="003B3C47" w:rsidRPr="00764F1A" w:rsidRDefault="003B3C47" w:rsidP="00252C91">
      <w:pPr>
        <w:pStyle w:val="ListBullet"/>
        <w:jc w:val="both"/>
      </w:pPr>
      <w:r w:rsidRPr="00764F1A">
        <w:rPr>
          <w:b/>
          <w:bCs/>
        </w:rPr>
        <w:t>Dwelling size</w:t>
      </w:r>
      <w:r w:rsidRPr="00764F1A">
        <w:t>: how many rooms or bedrooms a home contains. While this could also mean floor area or number of storeys, the number of bedrooms is most reliably recorded in housing statistics. Bedroom numbers are also closely linked to family size and life stage.</w:t>
      </w:r>
    </w:p>
    <w:p w14:paraId="1EB73631" w14:textId="77777777" w:rsidR="003B3C47" w:rsidRPr="00764F1A" w:rsidRDefault="003B3C47" w:rsidP="00252C91">
      <w:pPr>
        <w:pStyle w:val="ListBullet"/>
        <w:jc w:val="both"/>
      </w:pPr>
      <w:r w:rsidRPr="00764F1A">
        <w:rPr>
          <w:b/>
          <w:bCs/>
        </w:rPr>
        <w:t>Household</w:t>
      </w:r>
      <w:r w:rsidRPr="00764F1A">
        <w:t xml:space="preserve">: a unit of people who live together, commonly a family, couple or single person. Not all dwellings contain a household, including properties that are </w:t>
      </w:r>
      <w:r w:rsidRPr="00764F1A">
        <w:lastRenderedPageBreak/>
        <w:t>vacant and second homes, so the number of dwellings and the number of households in an area is usually different.</w:t>
      </w:r>
    </w:p>
    <w:p w14:paraId="75A6C3E0" w14:textId="77777777" w:rsidR="003B3C47" w:rsidRPr="00764F1A" w:rsidRDefault="003B3C47" w:rsidP="00252C91">
      <w:pPr>
        <w:pStyle w:val="ListBullet"/>
        <w:jc w:val="both"/>
      </w:pPr>
      <w:r w:rsidRPr="00764F1A">
        <w:rPr>
          <w:b/>
          <w:bCs/>
        </w:rPr>
        <w:t>Household composition</w:t>
      </w:r>
      <w:r w:rsidRPr="00764F1A">
        <w:t xml:space="preserve">: the specific combination of adults and children who form a household. The Census offers </w:t>
      </w:r>
      <w:proofErr w:type="gramStart"/>
      <w:r w:rsidRPr="00764F1A">
        <w:t>a number of</w:t>
      </w:r>
      <w:proofErr w:type="gramEnd"/>
      <w:r w:rsidRPr="00764F1A">
        <w:t xml:space="preserve"> categories, for example distinguishing between families with children who are dependent or non-dependent (i.e. adults). ‘Other’ households in the Census include house-sharers, groups of students, and multi-family households.</w:t>
      </w:r>
    </w:p>
    <w:p w14:paraId="19B54C8F" w14:textId="77777777" w:rsidR="003B3C47" w:rsidRPr="00764F1A" w:rsidRDefault="003B3C47" w:rsidP="00252C91">
      <w:pPr>
        <w:pStyle w:val="ListBullet"/>
        <w:jc w:val="both"/>
      </w:pPr>
      <w:r w:rsidRPr="00764F1A">
        <w:rPr>
          <w:b/>
          <w:bCs/>
        </w:rPr>
        <w:t>Household life stage</w:t>
      </w:r>
      <w:r w:rsidRPr="00764F1A">
        <w:t>: the age of the lead member of a household – usually the oldest adult, or what used to be called the ‘head of household’. Life stage is correlated with dwelling size as well as wealth.</w:t>
      </w:r>
    </w:p>
    <w:p w14:paraId="5B46B7E1" w14:textId="77777777" w:rsidR="003B3C47" w:rsidRPr="00764F1A" w:rsidRDefault="003B3C47" w:rsidP="00252C91">
      <w:pPr>
        <w:pStyle w:val="ListBullet"/>
        <w:jc w:val="both"/>
      </w:pPr>
      <w:r w:rsidRPr="00764F1A">
        <w:rPr>
          <w:b/>
          <w:bCs/>
        </w:rPr>
        <w:t>Housing mix</w:t>
      </w:r>
      <w:r w:rsidRPr="00764F1A">
        <w:t>: the range of home sizes and types in an area.</w:t>
      </w:r>
    </w:p>
    <w:p w14:paraId="430919D7" w14:textId="77777777" w:rsidR="003B3C47" w:rsidRPr="00764F1A" w:rsidRDefault="003B3C47" w:rsidP="00252C91">
      <w:pPr>
        <w:pStyle w:val="ListBullet"/>
        <w:jc w:val="both"/>
      </w:pPr>
      <w:r w:rsidRPr="00764F1A">
        <w:rPr>
          <w:b/>
          <w:bCs/>
        </w:rPr>
        <w:t>Over- and under-occupancy</w:t>
      </w:r>
      <w:r w:rsidRPr="00764F1A">
        <w:t>: the degree to which the size and composition of a household lines up with the number of bedrooms in their home. If there are more bedrooms than the household would be expected to need, the home is considered under-occupied, and vice versa.</w:t>
      </w:r>
    </w:p>
    <w:p w14:paraId="4F31248C" w14:textId="77777777" w:rsidR="003B3C47" w:rsidRPr="00764F1A" w:rsidRDefault="003B3C47" w:rsidP="00252C91">
      <w:pPr>
        <w:pStyle w:val="Heading2"/>
        <w:jc w:val="both"/>
        <w:rPr>
          <w:color w:val="auto"/>
        </w:rPr>
      </w:pPr>
      <w:r w:rsidRPr="00764F1A">
        <w:rPr>
          <w:color w:val="auto"/>
        </w:rPr>
        <w:t>The current housing mix</w:t>
      </w:r>
    </w:p>
    <w:p w14:paraId="2B53E7BA" w14:textId="0EF31420" w:rsidR="003B3C47" w:rsidRDefault="003B3C47" w:rsidP="00252C91">
      <w:pPr>
        <w:pStyle w:val="Numberedtext"/>
        <w:jc w:val="both"/>
      </w:pPr>
      <w:r w:rsidRPr="00764F1A">
        <w:t xml:space="preserve">This section establishes the current housing mix of </w:t>
      </w:r>
      <w:r w:rsidR="00D143F2">
        <w:t>Consett</w:t>
      </w:r>
      <w:r w:rsidRPr="00764F1A">
        <w:t>, highlighting recent changes to it and comparing the mix to wider averages.</w:t>
      </w:r>
    </w:p>
    <w:p w14:paraId="6FB68D56" w14:textId="77777777" w:rsidR="008E6B7D" w:rsidRDefault="008E6B7D" w:rsidP="008E6B7D">
      <w:pPr>
        <w:pStyle w:val="Numberedtext"/>
        <w:jc w:val="both"/>
      </w:pPr>
      <w:r>
        <w:t xml:space="preserve">There are currently 18,209 dwellings in Consett according to the 2021 Census. This reflects an increase of 1,019 dwellings since the 2011 Census when the total was 17,190. Completions data provided by County Durham council indicate that between 2011 and 2024, 1,137 dwellings were completed in Consett. </w:t>
      </w:r>
    </w:p>
    <w:p w14:paraId="6E23B9B8" w14:textId="2B97C788" w:rsidR="002A5CCC" w:rsidRDefault="008E6B7D" w:rsidP="008E6B7D">
      <w:pPr>
        <w:pStyle w:val="Numberedtext"/>
        <w:jc w:val="both"/>
      </w:pPr>
      <w:r>
        <w:t xml:space="preserve">The growth between the two census periods generally tracks completions data provided by County Durham council. It is also worth highlighting, when looking at annual breakdown of dwelling completions, 181 of these dwellings were completed after 2021 and are therefore unlikely to be counted in the 2021 Census and will not be included in the analysis in this chapter. </w:t>
      </w:r>
    </w:p>
    <w:p w14:paraId="2C55D1C5" w14:textId="77777777" w:rsidR="003B3C47" w:rsidRPr="00764F1A" w:rsidRDefault="003B3C47" w:rsidP="00252C91">
      <w:pPr>
        <w:pStyle w:val="Heading3"/>
        <w:jc w:val="both"/>
        <w:rPr>
          <w:color w:val="auto"/>
        </w:rPr>
      </w:pPr>
      <w:bookmarkStart w:id="119" w:name="_Toc31722657"/>
      <w:bookmarkStart w:id="120" w:name="_Toc102731865"/>
      <w:r w:rsidRPr="00764F1A">
        <w:rPr>
          <w:color w:val="auto"/>
        </w:rPr>
        <w:t>Dwelling type</w:t>
      </w:r>
      <w:bookmarkEnd w:id="119"/>
      <w:bookmarkEnd w:id="120"/>
    </w:p>
    <w:p w14:paraId="735D2DFB" w14:textId="558E8A52" w:rsidR="003B3C47" w:rsidRDefault="003B3C47" w:rsidP="00252C91">
      <w:pPr>
        <w:pStyle w:val="Numberedtext"/>
        <w:jc w:val="both"/>
      </w:pPr>
      <w:r w:rsidRPr="00003331">
        <w:t xml:space="preserve">Table </w:t>
      </w:r>
      <w:r w:rsidR="00003331" w:rsidRPr="00003331">
        <w:t xml:space="preserve">5-1 </w:t>
      </w:r>
      <w:r w:rsidRPr="00003331">
        <w:t>below shows</w:t>
      </w:r>
      <w:r w:rsidR="00003331" w:rsidRPr="00003331">
        <w:t xml:space="preserve"> </w:t>
      </w:r>
      <w:r w:rsidR="00271944">
        <w:t xml:space="preserve">the breakdown of different types of housing available in Consett. The most common housing type </w:t>
      </w:r>
      <w:r w:rsidR="00033764">
        <w:t xml:space="preserve">is </w:t>
      </w:r>
      <w:r w:rsidR="00271944">
        <w:t>terraced dwellings (</w:t>
      </w:r>
      <w:r w:rsidR="00F571CA">
        <w:t>38%)</w:t>
      </w:r>
      <w:r w:rsidR="00271944">
        <w:t xml:space="preserve">, </w:t>
      </w:r>
      <w:r w:rsidR="00F571CA">
        <w:t>followed by a comparable proportion of semi-detached dwellings (3</w:t>
      </w:r>
      <w:r w:rsidR="00A36ABA">
        <w:t>6</w:t>
      </w:r>
      <w:r w:rsidR="00F571CA">
        <w:t>%)</w:t>
      </w:r>
      <w:r w:rsidR="0031751C">
        <w:t xml:space="preserve">. Detached dwellings make up approximately one fifth of all homes in the NA, and the remainder is made up of a very small proportion of </w:t>
      </w:r>
      <w:r w:rsidR="002C21D8">
        <w:t xml:space="preserve">flats. </w:t>
      </w:r>
    </w:p>
    <w:p w14:paraId="2085444B" w14:textId="24548633" w:rsidR="00D007BC" w:rsidRDefault="002C21D8" w:rsidP="00252C91">
      <w:pPr>
        <w:pStyle w:val="Numberedtext"/>
        <w:jc w:val="both"/>
      </w:pPr>
      <w:r>
        <w:t>T</w:t>
      </w:r>
      <w:r w:rsidR="002F7500">
        <w:t xml:space="preserve">able 5-1 also presented figures from 2011, to give an understanding of how the housing stock has changed over the last </w:t>
      </w:r>
      <w:r w:rsidR="00CB162E">
        <w:t>decade</w:t>
      </w:r>
      <w:r w:rsidR="00512D96">
        <w:t>, but</w:t>
      </w:r>
      <w:r w:rsidR="003C1AB2">
        <w:t xml:space="preserve"> </w:t>
      </w:r>
      <w:r w:rsidR="00512D96">
        <w:t>t</w:t>
      </w:r>
      <w:r w:rsidR="003C1AB2">
        <w:t xml:space="preserve">he table does not show any </w:t>
      </w:r>
      <w:r w:rsidR="00D007BC">
        <w:t>dramatic changes in proportional terms</w:t>
      </w:r>
      <w:r w:rsidR="009D3AF3">
        <w:t xml:space="preserve"> over the </w:t>
      </w:r>
      <w:proofErr w:type="gramStart"/>
      <w:r w:rsidR="009D3AF3">
        <w:t>10 year</w:t>
      </w:r>
      <w:proofErr w:type="gramEnd"/>
      <w:r w:rsidR="009D3AF3">
        <w:t xml:space="preserve"> period</w:t>
      </w:r>
      <w:r w:rsidR="00D007BC">
        <w:t xml:space="preserve">. </w:t>
      </w:r>
    </w:p>
    <w:p w14:paraId="48162E4C" w14:textId="68F7FA0E" w:rsidR="00AC323D" w:rsidRDefault="00D007BC" w:rsidP="003A7787">
      <w:pPr>
        <w:pStyle w:val="Numberedtext"/>
        <w:jc w:val="both"/>
      </w:pPr>
      <w:r w:rsidRPr="002D5FD0">
        <w:t xml:space="preserve">However, </w:t>
      </w:r>
      <w:r w:rsidR="003B21AF">
        <w:t xml:space="preserve">when looking at the absolute figures, </w:t>
      </w:r>
      <w:r w:rsidRPr="002D5FD0">
        <w:t>i</w:t>
      </w:r>
      <w:r w:rsidR="00FA0EB5" w:rsidRPr="002D5FD0">
        <w:t xml:space="preserve">t is worth noting </w:t>
      </w:r>
      <w:r w:rsidR="004D40F0" w:rsidRPr="002D5FD0">
        <w:t xml:space="preserve">there has been </w:t>
      </w:r>
      <w:proofErr w:type="gramStart"/>
      <w:r w:rsidR="004D40F0" w:rsidRPr="002D5FD0">
        <w:t xml:space="preserve">fairly </w:t>
      </w:r>
      <w:r w:rsidR="003B21AF">
        <w:t>significant</w:t>
      </w:r>
      <w:proofErr w:type="gramEnd"/>
      <w:r w:rsidR="004D40F0" w:rsidRPr="002D5FD0">
        <w:t xml:space="preserve"> decrease in the number of </w:t>
      </w:r>
      <w:r w:rsidR="000E13AA" w:rsidRPr="002D5FD0">
        <w:t>terraced dwellings</w:t>
      </w:r>
      <w:r w:rsidRPr="002D5FD0">
        <w:t xml:space="preserve"> (-</w:t>
      </w:r>
      <w:r w:rsidR="00402F38">
        <w:t xml:space="preserve"> </w:t>
      </w:r>
      <w:r w:rsidR="00A211FE" w:rsidRPr="002D5FD0">
        <w:t>511</w:t>
      </w:r>
      <w:r w:rsidR="00007757" w:rsidRPr="002D5FD0">
        <w:t>)</w:t>
      </w:r>
      <w:r w:rsidR="000E13AA" w:rsidRPr="002D5FD0">
        <w:t xml:space="preserve">, which has </w:t>
      </w:r>
      <w:r w:rsidRPr="002D5FD0">
        <w:t>an</w:t>
      </w:r>
      <w:r w:rsidR="000E13AA" w:rsidRPr="002D5FD0">
        <w:t xml:space="preserve"> impact on the </w:t>
      </w:r>
      <w:r w:rsidR="006601AB" w:rsidRPr="002D5FD0">
        <w:t xml:space="preserve">proportional share of other housing types. </w:t>
      </w:r>
      <w:r w:rsidR="00102648" w:rsidRPr="002D5FD0">
        <w:t xml:space="preserve"> </w:t>
      </w:r>
      <w:r w:rsidR="00E45395" w:rsidRPr="002D5FD0">
        <w:t>Correspondingly,</w:t>
      </w:r>
      <w:r w:rsidR="003C1AB2" w:rsidRPr="002D5FD0">
        <w:t xml:space="preserve"> </w:t>
      </w:r>
      <w:r w:rsidRPr="002D5FD0">
        <w:t xml:space="preserve">the table also shows a significant increase in the number of </w:t>
      </w:r>
      <w:r w:rsidR="00007757" w:rsidRPr="002D5FD0">
        <w:t>detached</w:t>
      </w:r>
      <w:r w:rsidR="00007757">
        <w:t xml:space="preserve"> (+ </w:t>
      </w:r>
      <w:r w:rsidR="00A07A99">
        <w:t>410</w:t>
      </w:r>
      <w:r w:rsidR="00007757">
        <w:t xml:space="preserve">) and semi-detached (+ </w:t>
      </w:r>
      <w:r w:rsidR="00A07A99">
        <w:lastRenderedPageBreak/>
        <w:t>403</w:t>
      </w:r>
      <w:r w:rsidR="00007757">
        <w:t xml:space="preserve">) dwellings. </w:t>
      </w:r>
      <w:r w:rsidR="00AA146B">
        <w:t xml:space="preserve">When these changes are considered together, it is likely that </w:t>
      </w:r>
      <w:proofErr w:type="gramStart"/>
      <w:r w:rsidR="00AA146B">
        <w:t>a large number of</w:t>
      </w:r>
      <w:proofErr w:type="gramEnd"/>
      <w:r w:rsidR="00AA146B">
        <w:t xml:space="preserve"> terraced dwellings have been demolished in the last ten years and replaced with </w:t>
      </w:r>
      <w:r w:rsidR="00110A97">
        <w:t xml:space="preserve">detached and semi-detached dwellings. </w:t>
      </w:r>
      <w:r w:rsidR="0005126C">
        <w:t xml:space="preserve">This finding is interesting when considered alongside the complex affordability </w:t>
      </w:r>
      <w:r w:rsidR="00307A85">
        <w:t>picture presented in the previous chapter</w:t>
      </w:r>
      <w:r w:rsidR="001A2912">
        <w:t xml:space="preserve">, where new build housing appears to be significantly more expensive than the existing stock. </w:t>
      </w:r>
    </w:p>
    <w:p w14:paraId="7B1186AA" w14:textId="2811D711" w:rsidR="002C21D8" w:rsidRPr="00764F1A" w:rsidRDefault="002C21D8" w:rsidP="002C21D8">
      <w:pPr>
        <w:pStyle w:val="Caption"/>
        <w:jc w:val="both"/>
        <w:rPr>
          <w:color w:val="auto"/>
        </w:rPr>
      </w:pPr>
      <w:r w:rsidRPr="002D5FD0">
        <w:rPr>
          <w:color w:val="auto"/>
        </w:rPr>
        <w:t xml:space="preserve">Table </w:t>
      </w:r>
      <w:r w:rsidR="00A07A99" w:rsidRPr="002D5FD0">
        <w:rPr>
          <w:color w:val="auto"/>
        </w:rPr>
        <w:t>5-1</w:t>
      </w:r>
      <w:r w:rsidRPr="002D5FD0">
        <w:rPr>
          <w:color w:val="auto"/>
        </w:rPr>
        <w:t>: Accommodation type, Consett, 2011-2021</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0"/>
        <w:gridCol w:w="1911"/>
        <w:gridCol w:w="1907"/>
        <w:gridCol w:w="1907"/>
        <w:gridCol w:w="1905"/>
      </w:tblGrid>
      <w:tr w:rsidR="002C21D8" w:rsidRPr="005C7909" w14:paraId="1933CD74" w14:textId="77777777" w:rsidTr="004A503C">
        <w:trPr>
          <w:trHeight w:val="288"/>
        </w:trPr>
        <w:tc>
          <w:tcPr>
            <w:tcW w:w="1119" w:type="pct"/>
            <w:shd w:val="clear" w:color="auto" w:fill="000000" w:themeFill="text2"/>
            <w:noWrap/>
            <w:vAlign w:val="center"/>
            <w:hideMark/>
          </w:tcPr>
          <w:p w14:paraId="6A682662" w14:textId="77777777" w:rsidR="002C21D8" w:rsidRPr="00374C95" w:rsidRDefault="002C21D8" w:rsidP="004A503C">
            <w:pPr>
              <w:spacing w:line="276" w:lineRule="auto"/>
              <w:jc w:val="both"/>
              <w:rPr>
                <w:rFonts w:asciiTheme="majorHAnsi" w:hAnsiTheme="majorHAnsi" w:cstheme="majorHAnsi"/>
                <w:b/>
                <w:bCs/>
                <w:color w:val="FFFFFF" w:themeColor="background1"/>
                <w:lang w:eastAsia="zh-CN"/>
              </w:rPr>
            </w:pPr>
            <w:r>
              <w:rPr>
                <w:rFonts w:asciiTheme="majorHAnsi" w:hAnsiTheme="majorHAnsi" w:cstheme="majorHAnsi"/>
                <w:b/>
                <w:bCs/>
                <w:color w:val="FFFFFF" w:themeColor="background1"/>
                <w:lang w:eastAsia="zh-CN"/>
              </w:rPr>
              <w:t>T</w:t>
            </w:r>
            <w:r w:rsidRPr="00374C95">
              <w:rPr>
                <w:rFonts w:asciiTheme="majorHAnsi" w:hAnsiTheme="majorHAnsi" w:cstheme="majorHAnsi"/>
                <w:b/>
                <w:bCs/>
                <w:color w:val="FFFFFF" w:themeColor="background1"/>
                <w:lang w:eastAsia="zh-CN"/>
              </w:rPr>
              <w:t>ype</w:t>
            </w:r>
          </w:p>
        </w:tc>
        <w:tc>
          <w:tcPr>
            <w:tcW w:w="972" w:type="pct"/>
            <w:shd w:val="clear" w:color="000000" w:fill="000000"/>
            <w:noWrap/>
            <w:vAlign w:val="center"/>
          </w:tcPr>
          <w:p w14:paraId="38957CE8" w14:textId="77777777" w:rsidR="002C21D8" w:rsidRPr="00934414" w:rsidRDefault="002C21D8" w:rsidP="004A503C">
            <w:pPr>
              <w:spacing w:line="276" w:lineRule="auto"/>
              <w:jc w:val="center"/>
              <w:rPr>
                <w:rFonts w:asciiTheme="majorHAnsi" w:hAnsiTheme="majorHAnsi" w:cstheme="majorHAnsi"/>
                <w:b/>
                <w:bCs/>
                <w:color w:val="FFFFFF" w:themeColor="background1"/>
                <w:lang w:eastAsia="zh-CN"/>
              </w:rPr>
            </w:pPr>
            <w:r>
              <w:rPr>
                <w:rFonts w:asciiTheme="majorHAnsi" w:hAnsiTheme="majorHAnsi" w:cstheme="majorHAnsi"/>
                <w:b/>
                <w:bCs/>
                <w:color w:val="FFFFFF" w:themeColor="background1"/>
                <w:lang w:eastAsia="zh-CN"/>
              </w:rPr>
              <w:t>2011</w:t>
            </w:r>
          </w:p>
        </w:tc>
        <w:tc>
          <w:tcPr>
            <w:tcW w:w="970" w:type="pct"/>
            <w:shd w:val="clear" w:color="000000" w:fill="000000"/>
            <w:noWrap/>
            <w:vAlign w:val="center"/>
          </w:tcPr>
          <w:p w14:paraId="59E59B0F" w14:textId="77777777" w:rsidR="002C21D8" w:rsidRPr="00934414" w:rsidRDefault="002C21D8" w:rsidP="004A503C">
            <w:pPr>
              <w:spacing w:line="276" w:lineRule="auto"/>
              <w:jc w:val="center"/>
              <w:rPr>
                <w:rFonts w:asciiTheme="majorHAnsi" w:hAnsiTheme="majorHAnsi" w:cstheme="majorHAnsi"/>
                <w:b/>
                <w:bCs/>
                <w:color w:val="FFFFFF" w:themeColor="background1"/>
                <w:lang w:eastAsia="zh-CN"/>
              </w:rPr>
            </w:pPr>
            <w:r>
              <w:rPr>
                <w:rFonts w:asciiTheme="majorHAnsi" w:hAnsiTheme="majorHAnsi" w:cstheme="majorHAnsi"/>
                <w:b/>
                <w:bCs/>
                <w:color w:val="FFFFFF" w:themeColor="background1"/>
                <w:lang w:eastAsia="zh-CN"/>
              </w:rPr>
              <w:t>%</w:t>
            </w:r>
          </w:p>
        </w:tc>
        <w:tc>
          <w:tcPr>
            <w:tcW w:w="970" w:type="pct"/>
            <w:shd w:val="clear" w:color="000000" w:fill="000000"/>
          </w:tcPr>
          <w:p w14:paraId="587A72ED" w14:textId="77777777" w:rsidR="002C21D8" w:rsidRPr="00934414" w:rsidRDefault="002C21D8" w:rsidP="004A503C">
            <w:pPr>
              <w:spacing w:line="276" w:lineRule="auto"/>
              <w:jc w:val="center"/>
              <w:rPr>
                <w:rFonts w:asciiTheme="majorHAnsi" w:hAnsiTheme="majorHAnsi" w:cstheme="majorHAnsi"/>
                <w:b/>
                <w:bCs/>
                <w:color w:val="FFFFFF" w:themeColor="background1"/>
                <w:lang w:eastAsia="zh-CN"/>
              </w:rPr>
            </w:pPr>
            <w:r>
              <w:rPr>
                <w:rFonts w:asciiTheme="majorHAnsi" w:hAnsiTheme="majorHAnsi" w:cstheme="majorHAnsi"/>
                <w:b/>
                <w:bCs/>
                <w:color w:val="FFFFFF" w:themeColor="background1"/>
                <w:lang w:eastAsia="zh-CN"/>
              </w:rPr>
              <w:t>2021</w:t>
            </w:r>
          </w:p>
        </w:tc>
        <w:tc>
          <w:tcPr>
            <w:tcW w:w="969" w:type="pct"/>
            <w:shd w:val="clear" w:color="000000" w:fill="000000"/>
          </w:tcPr>
          <w:p w14:paraId="6C97DE30" w14:textId="77777777" w:rsidR="002C21D8" w:rsidRPr="00934414" w:rsidRDefault="002C21D8" w:rsidP="004A503C">
            <w:pPr>
              <w:spacing w:line="276" w:lineRule="auto"/>
              <w:jc w:val="center"/>
              <w:rPr>
                <w:rFonts w:asciiTheme="majorHAnsi" w:hAnsiTheme="majorHAnsi" w:cstheme="majorHAnsi"/>
                <w:b/>
                <w:bCs/>
                <w:color w:val="FFFFFF" w:themeColor="background1"/>
                <w:lang w:eastAsia="zh-CN"/>
              </w:rPr>
            </w:pPr>
            <w:r>
              <w:rPr>
                <w:rFonts w:asciiTheme="majorHAnsi" w:hAnsiTheme="majorHAnsi" w:cstheme="majorHAnsi"/>
                <w:b/>
                <w:bCs/>
                <w:color w:val="FFFFFF" w:themeColor="background1"/>
                <w:lang w:eastAsia="zh-CN"/>
              </w:rPr>
              <w:t>%</w:t>
            </w:r>
          </w:p>
        </w:tc>
      </w:tr>
      <w:tr w:rsidR="002C21D8" w:rsidRPr="005C7909" w14:paraId="654AE54E" w14:textId="77777777" w:rsidTr="004A503C">
        <w:trPr>
          <w:trHeight w:val="288"/>
        </w:trPr>
        <w:tc>
          <w:tcPr>
            <w:tcW w:w="1119" w:type="pct"/>
            <w:shd w:val="clear" w:color="auto" w:fill="auto"/>
            <w:noWrap/>
            <w:vAlign w:val="center"/>
          </w:tcPr>
          <w:p w14:paraId="735D91E9" w14:textId="77777777" w:rsidR="002C21D8" w:rsidRPr="00374C95" w:rsidRDefault="002C21D8" w:rsidP="004A503C">
            <w:pPr>
              <w:spacing w:line="276" w:lineRule="auto"/>
              <w:jc w:val="both"/>
              <w:rPr>
                <w:rFonts w:asciiTheme="majorHAnsi" w:hAnsiTheme="majorHAnsi" w:cstheme="majorHAnsi"/>
                <w:lang w:eastAsia="zh-CN"/>
              </w:rPr>
            </w:pPr>
            <w:r>
              <w:rPr>
                <w:rFonts w:asciiTheme="majorHAnsi" w:hAnsiTheme="majorHAnsi" w:cstheme="majorHAnsi"/>
                <w:lang w:eastAsia="zh-CN"/>
              </w:rPr>
              <w:t xml:space="preserve">Detached </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B38F61" w14:textId="77777777" w:rsidR="002C21D8" w:rsidRPr="009E25EF" w:rsidRDefault="002C21D8" w:rsidP="004A503C">
            <w:pPr>
              <w:spacing w:line="276" w:lineRule="auto"/>
              <w:jc w:val="right"/>
              <w:rPr>
                <w:szCs w:val="24"/>
              </w:rPr>
            </w:pPr>
            <w:r>
              <w:rPr>
                <w:rFonts w:ascii="Arial" w:hAnsi="Arial" w:cs="Arial"/>
                <w:color w:val="000000"/>
                <w:sz w:val="22"/>
                <w:szCs w:val="22"/>
              </w:rPr>
              <w:t>3,094</w:t>
            </w:r>
          </w:p>
        </w:tc>
        <w:tc>
          <w:tcPr>
            <w:tcW w:w="970" w:type="pct"/>
            <w:tcBorders>
              <w:top w:val="single" w:sz="4" w:space="0" w:color="auto"/>
              <w:left w:val="nil"/>
              <w:bottom w:val="single" w:sz="4" w:space="0" w:color="auto"/>
              <w:right w:val="single" w:sz="4" w:space="0" w:color="auto"/>
            </w:tcBorders>
            <w:shd w:val="clear" w:color="auto" w:fill="auto"/>
            <w:noWrap/>
            <w:vAlign w:val="bottom"/>
          </w:tcPr>
          <w:p w14:paraId="6E906044" w14:textId="77777777" w:rsidR="002C21D8" w:rsidRPr="009E25EF" w:rsidRDefault="002C21D8" w:rsidP="004A503C">
            <w:pPr>
              <w:spacing w:line="276" w:lineRule="auto"/>
              <w:jc w:val="right"/>
              <w:rPr>
                <w:rFonts w:asciiTheme="majorHAnsi" w:hAnsiTheme="majorHAnsi" w:cstheme="majorHAnsi"/>
                <w:szCs w:val="24"/>
                <w:lang w:eastAsia="zh-CN"/>
              </w:rPr>
            </w:pPr>
            <w:r>
              <w:rPr>
                <w:rFonts w:ascii="Arial" w:hAnsi="Arial" w:cs="Arial"/>
                <w:color w:val="000000"/>
                <w:sz w:val="22"/>
                <w:szCs w:val="22"/>
              </w:rPr>
              <w:t>18.0%</w:t>
            </w:r>
          </w:p>
        </w:tc>
        <w:tc>
          <w:tcPr>
            <w:tcW w:w="970" w:type="pct"/>
            <w:tcBorders>
              <w:top w:val="single" w:sz="4" w:space="0" w:color="auto"/>
              <w:left w:val="nil"/>
              <w:bottom w:val="single" w:sz="4" w:space="0" w:color="auto"/>
              <w:right w:val="single" w:sz="4" w:space="0" w:color="auto"/>
            </w:tcBorders>
            <w:shd w:val="clear" w:color="auto" w:fill="auto"/>
            <w:vAlign w:val="bottom"/>
          </w:tcPr>
          <w:p w14:paraId="33C9FD5A" w14:textId="77777777" w:rsidR="002C21D8" w:rsidRDefault="002C21D8" w:rsidP="004A503C">
            <w:pPr>
              <w:spacing w:line="276" w:lineRule="auto"/>
              <w:jc w:val="right"/>
              <w:rPr>
                <w:rFonts w:asciiTheme="majorHAnsi" w:hAnsiTheme="majorHAnsi" w:cstheme="majorHAnsi"/>
                <w:szCs w:val="24"/>
                <w:lang w:eastAsia="zh-CN"/>
              </w:rPr>
            </w:pPr>
            <w:r>
              <w:rPr>
                <w:rFonts w:ascii="Arial" w:hAnsi="Arial" w:cs="Arial"/>
                <w:color w:val="000000"/>
                <w:sz w:val="22"/>
                <w:szCs w:val="22"/>
              </w:rPr>
              <w:t>3,504</w:t>
            </w:r>
          </w:p>
        </w:tc>
        <w:tc>
          <w:tcPr>
            <w:tcW w:w="969" w:type="pct"/>
            <w:tcBorders>
              <w:top w:val="single" w:sz="4" w:space="0" w:color="auto"/>
              <w:left w:val="nil"/>
              <w:bottom w:val="single" w:sz="4" w:space="0" w:color="auto"/>
              <w:right w:val="single" w:sz="4" w:space="0" w:color="auto"/>
            </w:tcBorders>
            <w:shd w:val="clear" w:color="auto" w:fill="auto"/>
            <w:vAlign w:val="bottom"/>
          </w:tcPr>
          <w:p w14:paraId="670927DB" w14:textId="77777777" w:rsidR="002C21D8" w:rsidRDefault="002C21D8" w:rsidP="004A503C">
            <w:pPr>
              <w:spacing w:line="276" w:lineRule="auto"/>
              <w:jc w:val="right"/>
              <w:rPr>
                <w:rFonts w:asciiTheme="majorHAnsi" w:hAnsiTheme="majorHAnsi" w:cstheme="majorHAnsi"/>
                <w:szCs w:val="24"/>
                <w:lang w:eastAsia="zh-CN"/>
              </w:rPr>
            </w:pPr>
            <w:r>
              <w:rPr>
                <w:rFonts w:ascii="Arial" w:hAnsi="Arial" w:cs="Arial"/>
                <w:color w:val="000000"/>
                <w:sz w:val="22"/>
                <w:szCs w:val="22"/>
              </w:rPr>
              <w:t>20.1%</w:t>
            </w:r>
          </w:p>
        </w:tc>
      </w:tr>
      <w:tr w:rsidR="002C21D8" w:rsidRPr="005C7909" w14:paraId="367436F2" w14:textId="77777777" w:rsidTr="004A503C">
        <w:trPr>
          <w:trHeight w:val="288"/>
        </w:trPr>
        <w:tc>
          <w:tcPr>
            <w:tcW w:w="1119" w:type="pct"/>
            <w:shd w:val="clear" w:color="auto" w:fill="auto"/>
            <w:noWrap/>
            <w:vAlign w:val="center"/>
          </w:tcPr>
          <w:p w14:paraId="054BDEFF" w14:textId="77777777" w:rsidR="002C21D8" w:rsidRPr="00374C95" w:rsidRDefault="002C21D8" w:rsidP="004A503C">
            <w:pPr>
              <w:spacing w:line="276" w:lineRule="auto"/>
              <w:jc w:val="both"/>
              <w:rPr>
                <w:rFonts w:asciiTheme="majorHAnsi" w:hAnsiTheme="majorHAnsi" w:cstheme="majorHAnsi"/>
                <w:lang w:eastAsia="zh-CN"/>
              </w:rPr>
            </w:pPr>
            <w:r>
              <w:rPr>
                <w:rFonts w:asciiTheme="majorHAnsi" w:hAnsiTheme="majorHAnsi" w:cstheme="majorHAnsi"/>
                <w:lang w:eastAsia="zh-CN"/>
              </w:rPr>
              <w:t>Semi-detached</w:t>
            </w:r>
          </w:p>
        </w:tc>
        <w:tc>
          <w:tcPr>
            <w:tcW w:w="972" w:type="pct"/>
            <w:tcBorders>
              <w:top w:val="nil"/>
              <w:left w:val="single" w:sz="4" w:space="0" w:color="auto"/>
              <w:bottom w:val="single" w:sz="4" w:space="0" w:color="auto"/>
              <w:right w:val="single" w:sz="4" w:space="0" w:color="auto"/>
            </w:tcBorders>
            <w:shd w:val="clear" w:color="auto" w:fill="auto"/>
            <w:noWrap/>
            <w:vAlign w:val="bottom"/>
          </w:tcPr>
          <w:p w14:paraId="4AB68134" w14:textId="77777777" w:rsidR="002C21D8" w:rsidRPr="009E25EF" w:rsidRDefault="002C21D8" w:rsidP="004A503C">
            <w:pPr>
              <w:spacing w:line="276" w:lineRule="auto"/>
              <w:jc w:val="right"/>
              <w:rPr>
                <w:szCs w:val="24"/>
              </w:rPr>
            </w:pPr>
            <w:r>
              <w:rPr>
                <w:rFonts w:ascii="Arial" w:hAnsi="Arial" w:cs="Arial"/>
                <w:color w:val="000000"/>
                <w:sz w:val="22"/>
                <w:szCs w:val="22"/>
              </w:rPr>
              <w:t>5,917</w:t>
            </w:r>
          </w:p>
        </w:tc>
        <w:tc>
          <w:tcPr>
            <w:tcW w:w="970" w:type="pct"/>
            <w:tcBorders>
              <w:top w:val="nil"/>
              <w:left w:val="nil"/>
              <w:bottom w:val="single" w:sz="4" w:space="0" w:color="auto"/>
              <w:right w:val="single" w:sz="4" w:space="0" w:color="auto"/>
            </w:tcBorders>
            <w:shd w:val="clear" w:color="auto" w:fill="auto"/>
            <w:noWrap/>
            <w:vAlign w:val="bottom"/>
          </w:tcPr>
          <w:p w14:paraId="568773F1" w14:textId="77777777" w:rsidR="002C21D8" w:rsidRPr="009E25EF" w:rsidRDefault="002C21D8" w:rsidP="004A503C">
            <w:pPr>
              <w:spacing w:line="276" w:lineRule="auto"/>
              <w:jc w:val="right"/>
              <w:rPr>
                <w:rFonts w:asciiTheme="majorHAnsi" w:hAnsiTheme="majorHAnsi" w:cstheme="majorHAnsi"/>
                <w:szCs w:val="24"/>
                <w:lang w:eastAsia="zh-CN"/>
              </w:rPr>
            </w:pPr>
            <w:r>
              <w:rPr>
                <w:rFonts w:ascii="Arial" w:hAnsi="Arial" w:cs="Arial"/>
                <w:color w:val="000000"/>
                <w:sz w:val="22"/>
                <w:szCs w:val="22"/>
              </w:rPr>
              <w:t>34.4%</w:t>
            </w:r>
          </w:p>
        </w:tc>
        <w:tc>
          <w:tcPr>
            <w:tcW w:w="970" w:type="pct"/>
            <w:tcBorders>
              <w:top w:val="nil"/>
              <w:left w:val="nil"/>
              <w:bottom w:val="single" w:sz="4" w:space="0" w:color="auto"/>
              <w:right w:val="single" w:sz="4" w:space="0" w:color="auto"/>
            </w:tcBorders>
            <w:shd w:val="clear" w:color="auto" w:fill="auto"/>
            <w:vAlign w:val="bottom"/>
          </w:tcPr>
          <w:p w14:paraId="2577CC67" w14:textId="77777777" w:rsidR="002C21D8" w:rsidRDefault="002C21D8" w:rsidP="004A503C">
            <w:pPr>
              <w:spacing w:line="276" w:lineRule="auto"/>
              <w:jc w:val="right"/>
              <w:rPr>
                <w:rFonts w:asciiTheme="majorHAnsi" w:hAnsiTheme="majorHAnsi" w:cstheme="majorHAnsi"/>
                <w:szCs w:val="24"/>
                <w:lang w:eastAsia="zh-CN"/>
              </w:rPr>
            </w:pPr>
            <w:r>
              <w:rPr>
                <w:rFonts w:ascii="Arial" w:hAnsi="Arial" w:cs="Arial"/>
                <w:color w:val="000000"/>
                <w:sz w:val="22"/>
                <w:szCs w:val="22"/>
              </w:rPr>
              <w:t>6,320</w:t>
            </w:r>
          </w:p>
        </w:tc>
        <w:tc>
          <w:tcPr>
            <w:tcW w:w="969" w:type="pct"/>
            <w:tcBorders>
              <w:top w:val="nil"/>
              <w:left w:val="nil"/>
              <w:bottom w:val="single" w:sz="4" w:space="0" w:color="auto"/>
              <w:right w:val="single" w:sz="4" w:space="0" w:color="auto"/>
            </w:tcBorders>
            <w:shd w:val="clear" w:color="auto" w:fill="auto"/>
            <w:vAlign w:val="bottom"/>
          </w:tcPr>
          <w:p w14:paraId="7FE95BD0" w14:textId="77777777" w:rsidR="002C21D8" w:rsidRDefault="002C21D8" w:rsidP="004A503C">
            <w:pPr>
              <w:spacing w:line="276" w:lineRule="auto"/>
              <w:jc w:val="right"/>
              <w:rPr>
                <w:rFonts w:asciiTheme="majorHAnsi" w:hAnsiTheme="majorHAnsi" w:cstheme="majorHAnsi"/>
                <w:szCs w:val="24"/>
                <w:lang w:eastAsia="zh-CN"/>
              </w:rPr>
            </w:pPr>
            <w:r>
              <w:rPr>
                <w:rFonts w:ascii="Arial" w:hAnsi="Arial" w:cs="Arial"/>
                <w:color w:val="000000"/>
                <w:sz w:val="22"/>
                <w:szCs w:val="22"/>
              </w:rPr>
              <w:t>36.2%</w:t>
            </w:r>
          </w:p>
        </w:tc>
      </w:tr>
      <w:tr w:rsidR="002C21D8" w:rsidRPr="005C7909" w14:paraId="1F9DBD83" w14:textId="77777777" w:rsidTr="004A503C">
        <w:trPr>
          <w:trHeight w:val="288"/>
        </w:trPr>
        <w:tc>
          <w:tcPr>
            <w:tcW w:w="1119" w:type="pct"/>
            <w:shd w:val="clear" w:color="auto" w:fill="auto"/>
            <w:noWrap/>
            <w:vAlign w:val="center"/>
          </w:tcPr>
          <w:p w14:paraId="236CA979" w14:textId="77777777" w:rsidR="002C21D8" w:rsidRPr="00374C95" w:rsidRDefault="002C21D8" w:rsidP="004A503C">
            <w:pPr>
              <w:spacing w:line="276" w:lineRule="auto"/>
              <w:jc w:val="both"/>
              <w:rPr>
                <w:rFonts w:asciiTheme="majorHAnsi" w:hAnsiTheme="majorHAnsi" w:cstheme="majorHAnsi"/>
                <w:lang w:eastAsia="zh-CN"/>
              </w:rPr>
            </w:pPr>
            <w:r>
              <w:rPr>
                <w:rFonts w:asciiTheme="majorHAnsi" w:hAnsiTheme="majorHAnsi" w:cstheme="majorHAnsi"/>
                <w:lang w:eastAsia="zh-CN"/>
              </w:rPr>
              <w:t>Terrace</w:t>
            </w:r>
          </w:p>
        </w:tc>
        <w:tc>
          <w:tcPr>
            <w:tcW w:w="972" w:type="pct"/>
            <w:tcBorders>
              <w:top w:val="nil"/>
              <w:left w:val="single" w:sz="4" w:space="0" w:color="auto"/>
              <w:bottom w:val="single" w:sz="4" w:space="0" w:color="auto"/>
              <w:right w:val="single" w:sz="4" w:space="0" w:color="auto"/>
            </w:tcBorders>
            <w:shd w:val="clear" w:color="auto" w:fill="auto"/>
            <w:noWrap/>
            <w:vAlign w:val="bottom"/>
          </w:tcPr>
          <w:p w14:paraId="1AAE4C58" w14:textId="0FA272C5" w:rsidR="002C21D8" w:rsidRPr="003A7787" w:rsidRDefault="003A7787" w:rsidP="003A7787">
            <w:pPr>
              <w:tabs>
                <w:tab w:val="clear" w:pos="284"/>
              </w:tabs>
              <w:spacing w:line="240" w:lineRule="auto"/>
              <w:jc w:val="right"/>
              <w:rPr>
                <w:rFonts w:ascii="Arial" w:hAnsi="Arial" w:cs="Arial"/>
                <w:color w:val="000000"/>
                <w:kern w:val="0"/>
                <w:sz w:val="22"/>
                <w:szCs w:val="22"/>
              </w:rPr>
            </w:pPr>
            <w:r>
              <w:rPr>
                <w:rFonts w:ascii="Arial" w:hAnsi="Arial" w:cs="Arial"/>
                <w:color w:val="000000"/>
                <w:sz w:val="22"/>
                <w:szCs w:val="22"/>
              </w:rPr>
              <w:t>7,250</w:t>
            </w:r>
          </w:p>
        </w:tc>
        <w:tc>
          <w:tcPr>
            <w:tcW w:w="970" w:type="pct"/>
            <w:tcBorders>
              <w:top w:val="nil"/>
              <w:left w:val="nil"/>
              <w:bottom w:val="single" w:sz="4" w:space="0" w:color="auto"/>
              <w:right w:val="single" w:sz="4" w:space="0" w:color="auto"/>
            </w:tcBorders>
            <w:shd w:val="clear" w:color="auto" w:fill="auto"/>
            <w:noWrap/>
            <w:vAlign w:val="bottom"/>
          </w:tcPr>
          <w:p w14:paraId="2BB38717" w14:textId="3C6A6944" w:rsidR="002C21D8" w:rsidRPr="009E25EF" w:rsidRDefault="00FA0EB5" w:rsidP="004A503C">
            <w:pPr>
              <w:spacing w:line="276" w:lineRule="auto"/>
              <w:jc w:val="right"/>
              <w:rPr>
                <w:rFonts w:asciiTheme="majorHAnsi" w:hAnsiTheme="majorHAnsi" w:cstheme="majorHAnsi"/>
                <w:szCs w:val="24"/>
                <w:lang w:eastAsia="zh-CN"/>
              </w:rPr>
            </w:pPr>
            <w:r>
              <w:rPr>
                <w:rFonts w:ascii="Arial" w:hAnsi="Arial" w:cs="Arial"/>
                <w:color w:val="000000"/>
                <w:sz w:val="22"/>
                <w:szCs w:val="22"/>
              </w:rPr>
              <w:t>42.2</w:t>
            </w:r>
            <w:r w:rsidR="002C21D8">
              <w:rPr>
                <w:rFonts w:ascii="Arial" w:hAnsi="Arial" w:cs="Arial"/>
                <w:color w:val="000000"/>
                <w:sz w:val="22"/>
                <w:szCs w:val="22"/>
              </w:rPr>
              <w:t>%</w:t>
            </w:r>
          </w:p>
        </w:tc>
        <w:tc>
          <w:tcPr>
            <w:tcW w:w="970" w:type="pct"/>
            <w:tcBorders>
              <w:top w:val="nil"/>
              <w:left w:val="nil"/>
              <w:bottom w:val="single" w:sz="4" w:space="0" w:color="auto"/>
              <w:right w:val="single" w:sz="4" w:space="0" w:color="auto"/>
            </w:tcBorders>
            <w:shd w:val="clear" w:color="auto" w:fill="auto"/>
            <w:vAlign w:val="bottom"/>
          </w:tcPr>
          <w:p w14:paraId="21523CE6" w14:textId="77777777" w:rsidR="002C21D8" w:rsidRDefault="002C21D8" w:rsidP="004A503C">
            <w:pPr>
              <w:spacing w:line="276" w:lineRule="auto"/>
              <w:jc w:val="right"/>
              <w:rPr>
                <w:rFonts w:asciiTheme="majorHAnsi" w:hAnsiTheme="majorHAnsi" w:cstheme="majorHAnsi"/>
                <w:szCs w:val="24"/>
                <w:lang w:eastAsia="zh-CN"/>
              </w:rPr>
            </w:pPr>
            <w:r>
              <w:rPr>
                <w:rFonts w:ascii="Arial" w:hAnsi="Arial" w:cs="Arial"/>
                <w:color w:val="000000"/>
                <w:sz w:val="22"/>
                <w:szCs w:val="22"/>
              </w:rPr>
              <w:t>6,739</w:t>
            </w:r>
          </w:p>
        </w:tc>
        <w:tc>
          <w:tcPr>
            <w:tcW w:w="969" w:type="pct"/>
            <w:tcBorders>
              <w:top w:val="nil"/>
              <w:left w:val="nil"/>
              <w:bottom w:val="single" w:sz="4" w:space="0" w:color="auto"/>
              <w:right w:val="single" w:sz="4" w:space="0" w:color="auto"/>
            </w:tcBorders>
            <w:shd w:val="clear" w:color="auto" w:fill="auto"/>
            <w:vAlign w:val="bottom"/>
          </w:tcPr>
          <w:p w14:paraId="6AF6F83A" w14:textId="77777777" w:rsidR="002C21D8" w:rsidRDefault="002C21D8" w:rsidP="004A503C">
            <w:pPr>
              <w:spacing w:line="276" w:lineRule="auto"/>
              <w:jc w:val="right"/>
              <w:rPr>
                <w:rFonts w:asciiTheme="majorHAnsi" w:hAnsiTheme="majorHAnsi" w:cstheme="majorHAnsi"/>
                <w:szCs w:val="24"/>
                <w:lang w:eastAsia="zh-CN"/>
              </w:rPr>
            </w:pPr>
            <w:r>
              <w:rPr>
                <w:rFonts w:ascii="Arial" w:hAnsi="Arial" w:cs="Arial"/>
                <w:color w:val="000000"/>
                <w:sz w:val="22"/>
                <w:szCs w:val="22"/>
              </w:rPr>
              <w:t>38.6%</w:t>
            </w:r>
          </w:p>
        </w:tc>
      </w:tr>
      <w:tr w:rsidR="002C21D8" w:rsidRPr="005C7909" w14:paraId="036C4BEE" w14:textId="77777777" w:rsidTr="004A503C">
        <w:trPr>
          <w:trHeight w:val="288"/>
        </w:trPr>
        <w:tc>
          <w:tcPr>
            <w:tcW w:w="1119" w:type="pct"/>
            <w:shd w:val="clear" w:color="auto" w:fill="auto"/>
            <w:noWrap/>
            <w:vAlign w:val="center"/>
          </w:tcPr>
          <w:p w14:paraId="017C088F" w14:textId="77777777" w:rsidR="002C21D8" w:rsidRPr="00374C95" w:rsidRDefault="002C21D8" w:rsidP="004A503C">
            <w:pPr>
              <w:spacing w:line="276" w:lineRule="auto"/>
              <w:jc w:val="both"/>
              <w:rPr>
                <w:rFonts w:asciiTheme="majorHAnsi" w:hAnsiTheme="majorHAnsi" w:cstheme="majorHAnsi"/>
                <w:lang w:eastAsia="zh-CN"/>
              </w:rPr>
            </w:pPr>
            <w:r>
              <w:rPr>
                <w:rFonts w:asciiTheme="majorHAnsi" w:hAnsiTheme="majorHAnsi" w:cstheme="majorHAnsi"/>
                <w:lang w:eastAsia="zh-CN"/>
              </w:rPr>
              <w:t>Flat</w:t>
            </w:r>
          </w:p>
        </w:tc>
        <w:tc>
          <w:tcPr>
            <w:tcW w:w="972" w:type="pct"/>
            <w:tcBorders>
              <w:top w:val="nil"/>
              <w:left w:val="single" w:sz="4" w:space="0" w:color="auto"/>
              <w:bottom w:val="single" w:sz="4" w:space="0" w:color="auto"/>
              <w:right w:val="single" w:sz="4" w:space="0" w:color="auto"/>
            </w:tcBorders>
            <w:shd w:val="clear" w:color="auto" w:fill="auto"/>
            <w:noWrap/>
            <w:vAlign w:val="bottom"/>
          </w:tcPr>
          <w:p w14:paraId="0E6111BF" w14:textId="77777777" w:rsidR="002C21D8" w:rsidRPr="009E25EF" w:rsidRDefault="002C21D8" w:rsidP="004A503C">
            <w:pPr>
              <w:spacing w:line="276" w:lineRule="auto"/>
              <w:jc w:val="right"/>
              <w:rPr>
                <w:szCs w:val="24"/>
              </w:rPr>
            </w:pPr>
            <w:r>
              <w:rPr>
                <w:rFonts w:ascii="Arial" w:hAnsi="Arial" w:cs="Arial"/>
                <w:color w:val="000000"/>
                <w:sz w:val="22"/>
                <w:szCs w:val="22"/>
              </w:rPr>
              <w:t>890</w:t>
            </w:r>
          </w:p>
        </w:tc>
        <w:tc>
          <w:tcPr>
            <w:tcW w:w="970" w:type="pct"/>
            <w:tcBorders>
              <w:top w:val="nil"/>
              <w:left w:val="nil"/>
              <w:bottom w:val="single" w:sz="4" w:space="0" w:color="auto"/>
              <w:right w:val="single" w:sz="4" w:space="0" w:color="auto"/>
            </w:tcBorders>
            <w:shd w:val="clear" w:color="auto" w:fill="auto"/>
            <w:noWrap/>
            <w:vAlign w:val="bottom"/>
          </w:tcPr>
          <w:p w14:paraId="3CF27DEA" w14:textId="77777777" w:rsidR="002C21D8" w:rsidRPr="009E25EF" w:rsidRDefault="002C21D8" w:rsidP="004A503C">
            <w:pPr>
              <w:spacing w:line="276" w:lineRule="auto"/>
              <w:jc w:val="right"/>
              <w:rPr>
                <w:rFonts w:asciiTheme="majorHAnsi" w:hAnsiTheme="majorHAnsi" w:cstheme="majorHAnsi"/>
                <w:szCs w:val="24"/>
                <w:lang w:eastAsia="zh-CN"/>
              </w:rPr>
            </w:pPr>
            <w:r>
              <w:rPr>
                <w:rFonts w:ascii="Arial" w:hAnsi="Arial" w:cs="Arial"/>
                <w:color w:val="000000"/>
                <w:sz w:val="22"/>
                <w:szCs w:val="22"/>
              </w:rPr>
              <w:t>5.2%</w:t>
            </w:r>
          </w:p>
        </w:tc>
        <w:tc>
          <w:tcPr>
            <w:tcW w:w="970" w:type="pct"/>
            <w:tcBorders>
              <w:top w:val="nil"/>
              <w:left w:val="nil"/>
              <w:bottom w:val="single" w:sz="4" w:space="0" w:color="auto"/>
              <w:right w:val="single" w:sz="4" w:space="0" w:color="auto"/>
            </w:tcBorders>
            <w:shd w:val="clear" w:color="auto" w:fill="auto"/>
            <w:vAlign w:val="bottom"/>
          </w:tcPr>
          <w:p w14:paraId="3DD561D2" w14:textId="77777777" w:rsidR="002C21D8" w:rsidRDefault="002C21D8" w:rsidP="004A503C">
            <w:pPr>
              <w:spacing w:line="276" w:lineRule="auto"/>
              <w:jc w:val="right"/>
              <w:rPr>
                <w:rFonts w:asciiTheme="majorHAnsi" w:hAnsiTheme="majorHAnsi" w:cstheme="majorHAnsi"/>
                <w:szCs w:val="24"/>
                <w:lang w:eastAsia="zh-CN"/>
              </w:rPr>
            </w:pPr>
            <w:r>
              <w:rPr>
                <w:rFonts w:ascii="Arial" w:hAnsi="Arial" w:cs="Arial"/>
                <w:color w:val="000000"/>
                <w:sz w:val="22"/>
                <w:szCs w:val="22"/>
              </w:rPr>
              <w:t>902</w:t>
            </w:r>
          </w:p>
        </w:tc>
        <w:tc>
          <w:tcPr>
            <w:tcW w:w="969" w:type="pct"/>
            <w:tcBorders>
              <w:top w:val="nil"/>
              <w:left w:val="nil"/>
              <w:bottom w:val="single" w:sz="4" w:space="0" w:color="auto"/>
              <w:right w:val="single" w:sz="4" w:space="0" w:color="auto"/>
            </w:tcBorders>
            <w:shd w:val="clear" w:color="auto" w:fill="auto"/>
            <w:vAlign w:val="bottom"/>
          </w:tcPr>
          <w:p w14:paraId="3E169559" w14:textId="77777777" w:rsidR="002C21D8" w:rsidRDefault="002C21D8" w:rsidP="004A503C">
            <w:pPr>
              <w:spacing w:line="276" w:lineRule="auto"/>
              <w:jc w:val="right"/>
              <w:rPr>
                <w:rFonts w:asciiTheme="majorHAnsi" w:hAnsiTheme="majorHAnsi" w:cstheme="majorHAnsi"/>
                <w:szCs w:val="24"/>
                <w:lang w:eastAsia="zh-CN"/>
              </w:rPr>
            </w:pPr>
            <w:r>
              <w:rPr>
                <w:rFonts w:ascii="Arial" w:hAnsi="Arial" w:cs="Arial"/>
                <w:color w:val="000000"/>
                <w:sz w:val="22"/>
                <w:szCs w:val="22"/>
              </w:rPr>
              <w:t>5.2%</w:t>
            </w:r>
          </w:p>
        </w:tc>
      </w:tr>
      <w:tr w:rsidR="002C21D8" w:rsidRPr="005C7909" w14:paraId="1AD67AF0" w14:textId="77777777" w:rsidTr="004A503C">
        <w:trPr>
          <w:trHeight w:val="288"/>
        </w:trPr>
        <w:tc>
          <w:tcPr>
            <w:tcW w:w="1119" w:type="pct"/>
            <w:shd w:val="clear" w:color="auto" w:fill="auto"/>
            <w:noWrap/>
            <w:vAlign w:val="center"/>
          </w:tcPr>
          <w:p w14:paraId="6CA99FB5" w14:textId="77777777" w:rsidR="002C21D8" w:rsidRDefault="002C21D8" w:rsidP="004A503C">
            <w:pPr>
              <w:spacing w:line="276" w:lineRule="auto"/>
              <w:jc w:val="both"/>
              <w:rPr>
                <w:rFonts w:asciiTheme="majorHAnsi" w:hAnsiTheme="majorHAnsi" w:cstheme="majorHAnsi"/>
                <w:lang w:eastAsia="zh-CN"/>
              </w:rPr>
            </w:pPr>
            <w:r>
              <w:rPr>
                <w:rFonts w:asciiTheme="majorHAnsi" w:hAnsiTheme="majorHAnsi" w:cstheme="majorHAnsi"/>
                <w:lang w:eastAsia="zh-CN"/>
              </w:rPr>
              <w:t>Total</w:t>
            </w:r>
          </w:p>
        </w:tc>
        <w:tc>
          <w:tcPr>
            <w:tcW w:w="972" w:type="pct"/>
            <w:tcBorders>
              <w:top w:val="nil"/>
              <w:left w:val="single" w:sz="4" w:space="0" w:color="auto"/>
              <w:bottom w:val="single" w:sz="4" w:space="0" w:color="auto"/>
              <w:right w:val="single" w:sz="4" w:space="0" w:color="auto"/>
            </w:tcBorders>
            <w:shd w:val="clear" w:color="auto" w:fill="auto"/>
            <w:noWrap/>
            <w:vAlign w:val="bottom"/>
          </w:tcPr>
          <w:p w14:paraId="4260D013" w14:textId="77777777" w:rsidR="002C21D8" w:rsidRDefault="002C21D8" w:rsidP="004A503C">
            <w:pPr>
              <w:spacing w:line="276" w:lineRule="auto"/>
              <w:jc w:val="right"/>
              <w:rPr>
                <w:szCs w:val="24"/>
              </w:rPr>
            </w:pPr>
            <w:r>
              <w:rPr>
                <w:rFonts w:ascii="Arial" w:hAnsi="Arial" w:cs="Arial"/>
                <w:color w:val="000000"/>
                <w:sz w:val="22"/>
                <w:szCs w:val="22"/>
              </w:rPr>
              <w:t>17,190</w:t>
            </w:r>
          </w:p>
        </w:tc>
        <w:tc>
          <w:tcPr>
            <w:tcW w:w="970" w:type="pct"/>
            <w:tcBorders>
              <w:top w:val="nil"/>
              <w:left w:val="nil"/>
              <w:bottom w:val="single" w:sz="4" w:space="0" w:color="auto"/>
              <w:right w:val="single" w:sz="4" w:space="0" w:color="auto"/>
            </w:tcBorders>
            <w:shd w:val="clear" w:color="auto" w:fill="auto"/>
            <w:noWrap/>
            <w:vAlign w:val="bottom"/>
          </w:tcPr>
          <w:p w14:paraId="171B4358" w14:textId="77777777" w:rsidR="002C21D8" w:rsidRDefault="002C21D8" w:rsidP="004A503C">
            <w:pPr>
              <w:spacing w:line="276" w:lineRule="auto"/>
              <w:jc w:val="right"/>
              <w:rPr>
                <w:rFonts w:asciiTheme="majorHAnsi" w:hAnsiTheme="majorHAnsi" w:cstheme="majorHAnsi"/>
                <w:szCs w:val="24"/>
                <w:lang w:eastAsia="zh-CN"/>
              </w:rPr>
            </w:pPr>
            <w:r>
              <w:rPr>
                <w:rFonts w:ascii="Arial" w:hAnsi="Arial" w:cs="Arial"/>
                <w:color w:val="000000"/>
                <w:sz w:val="22"/>
                <w:szCs w:val="22"/>
              </w:rPr>
              <w:t> </w:t>
            </w:r>
          </w:p>
        </w:tc>
        <w:tc>
          <w:tcPr>
            <w:tcW w:w="970" w:type="pct"/>
            <w:tcBorders>
              <w:top w:val="nil"/>
              <w:left w:val="nil"/>
              <w:bottom w:val="single" w:sz="4" w:space="0" w:color="auto"/>
              <w:right w:val="single" w:sz="4" w:space="0" w:color="auto"/>
            </w:tcBorders>
            <w:shd w:val="clear" w:color="auto" w:fill="auto"/>
            <w:vAlign w:val="bottom"/>
          </w:tcPr>
          <w:p w14:paraId="0BF343AA" w14:textId="77777777" w:rsidR="002C21D8" w:rsidRDefault="002C21D8" w:rsidP="004A503C">
            <w:pPr>
              <w:spacing w:line="276" w:lineRule="auto"/>
              <w:jc w:val="right"/>
              <w:rPr>
                <w:rFonts w:asciiTheme="majorHAnsi" w:hAnsiTheme="majorHAnsi" w:cstheme="majorHAnsi"/>
                <w:szCs w:val="24"/>
                <w:lang w:eastAsia="zh-CN"/>
              </w:rPr>
            </w:pPr>
            <w:r>
              <w:rPr>
                <w:rFonts w:ascii="Arial" w:hAnsi="Arial" w:cs="Arial"/>
                <w:color w:val="000000"/>
                <w:sz w:val="22"/>
                <w:szCs w:val="22"/>
              </w:rPr>
              <w:t>17,476</w:t>
            </w:r>
          </w:p>
        </w:tc>
        <w:tc>
          <w:tcPr>
            <w:tcW w:w="969" w:type="pct"/>
            <w:tcBorders>
              <w:top w:val="nil"/>
              <w:left w:val="nil"/>
              <w:bottom w:val="single" w:sz="4" w:space="0" w:color="auto"/>
              <w:right w:val="single" w:sz="4" w:space="0" w:color="auto"/>
            </w:tcBorders>
            <w:shd w:val="clear" w:color="auto" w:fill="auto"/>
            <w:vAlign w:val="bottom"/>
          </w:tcPr>
          <w:p w14:paraId="0E77892F" w14:textId="77777777" w:rsidR="002C21D8" w:rsidRDefault="002C21D8" w:rsidP="004A503C">
            <w:pPr>
              <w:spacing w:line="276" w:lineRule="auto"/>
              <w:jc w:val="right"/>
              <w:rPr>
                <w:rFonts w:asciiTheme="majorHAnsi" w:hAnsiTheme="majorHAnsi" w:cstheme="majorHAnsi"/>
                <w:szCs w:val="24"/>
                <w:lang w:eastAsia="zh-CN"/>
              </w:rPr>
            </w:pPr>
            <w:r>
              <w:rPr>
                <w:rFonts w:ascii="Arial" w:hAnsi="Arial" w:cs="Arial"/>
                <w:color w:val="000000"/>
                <w:sz w:val="22"/>
                <w:szCs w:val="22"/>
              </w:rPr>
              <w:t> </w:t>
            </w:r>
          </w:p>
        </w:tc>
      </w:tr>
    </w:tbl>
    <w:p w14:paraId="3136F8C5" w14:textId="77777777" w:rsidR="002C21D8" w:rsidRDefault="002C21D8" w:rsidP="002C21D8">
      <w:pPr>
        <w:pStyle w:val="Source"/>
        <w:jc w:val="both"/>
      </w:pPr>
      <w:r w:rsidRPr="005C7909">
        <w:t xml:space="preserve">Source: ONS </w:t>
      </w:r>
      <w:r>
        <w:t xml:space="preserve">2021 and </w:t>
      </w:r>
      <w:r w:rsidRPr="005C7909">
        <w:t>2011, AECOM Calculations</w:t>
      </w:r>
    </w:p>
    <w:p w14:paraId="19CCF27D" w14:textId="77777777" w:rsidR="008975D8" w:rsidRPr="00A91C91" w:rsidRDefault="008975D8" w:rsidP="008975D8">
      <w:pPr>
        <w:pStyle w:val="Numberedtext"/>
        <w:numPr>
          <w:ilvl w:val="2"/>
          <w:numId w:val="39"/>
        </w:numPr>
        <w:ind w:left="851" w:hanging="851"/>
        <w:jc w:val="both"/>
      </w:pPr>
      <w:r>
        <w:t xml:space="preserve">Table 5-2 </w:t>
      </w:r>
      <w:r w:rsidRPr="00A91C91">
        <w:t xml:space="preserve">compares the NA to wider benchmarks. It shows that the housing profile in Consett generally follows that seen across Durham, where </w:t>
      </w:r>
      <w:proofErr w:type="gramStart"/>
      <w:r w:rsidRPr="00A91C91">
        <w:t>the majority of</w:t>
      </w:r>
      <w:proofErr w:type="gramEnd"/>
      <w:r w:rsidRPr="00A91C91">
        <w:t xml:space="preserve"> homes are either terraced dwellings or semi-detached, albeit the NA has a slightly higher proportion of terraced dwellings.</w:t>
      </w:r>
    </w:p>
    <w:p w14:paraId="37D72D17" w14:textId="7C6A7758" w:rsidR="002C21D8" w:rsidRPr="00A91C91" w:rsidRDefault="00F736A5" w:rsidP="00F736A5">
      <w:pPr>
        <w:pStyle w:val="Numberedtext"/>
        <w:numPr>
          <w:ilvl w:val="2"/>
          <w:numId w:val="39"/>
        </w:numPr>
        <w:ind w:left="851" w:hanging="851"/>
        <w:jc w:val="both"/>
      </w:pPr>
      <w:r w:rsidRPr="00A91C91">
        <w:t xml:space="preserve">The Census does not separate out bungalows as a separate housing type, however data from the Valuation Office Agency (VOA) can be used to identify bungalows in the NA. For </w:t>
      </w:r>
      <w:r w:rsidR="00546BD1" w:rsidRPr="00A91C91">
        <w:t>Consett</w:t>
      </w:r>
      <w:r w:rsidRPr="00A91C91">
        <w:t>, VOA data suggests that 1</w:t>
      </w:r>
      <w:r w:rsidR="00546BD1" w:rsidRPr="00A91C91">
        <w:t>6</w:t>
      </w:r>
      <w:r w:rsidRPr="00A91C91">
        <w:t xml:space="preserve">% of all housing stock is made up of bungalows, which is slightly higher than the proportion seen across </w:t>
      </w:r>
      <w:r w:rsidR="00546BD1" w:rsidRPr="00A91C91">
        <w:t>County Durham</w:t>
      </w:r>
      <w:r w:rsidRPr="00A91C91">
        <w:t xml:space="preserve"> (1</w:t>
      </w:r>
      <w:r w:rsidR="00546BD1" w:rsidRPr="00A91C91">
        <w:t>3</w:t>
      </w:r>
      <w:r w:rsidRPr="00A91C91">
        <w:t xml:space="preserve">%). However, there are limitations in the VOA data. Firstly, it is collected at LSOA level, which don’t fully reflect the NA boundary (see Appendix A). Also, VOA data is rounded to the nearest 10, meaning that the total is not as precise as the Census. Nonetheless, it is likely that a notable proportion of the detached and semi-detached dwellings in the NA are bungalows. </w:t>
      </w:r>
    </w:p>
    <w:p w14:paraId="5727F7F1" w14:textId="100A64BA" w:rsidR="003B3C47" w:rsidRPr="00764F1A" w:rsidRDefault="003B3C47" w:rsidP="00252C91">
      <w:pPr>
        <w:pStyle w:val="Caption"/>
        <w:jc w:val="both"/>
        <w:rPr>
          <w:color w:val="auto"/>
        </w:rPr>
      </w:pPr>
      <w:bookmarkStart w:id="121" w:name="_Hlk54187896"/>
      <w:r w:rsidRPr="00A91C91">
        <w:rPr>
          <w:color w:val="auto"/>
        </w:rPr>
        <w:t xml:space="preserve">Table </w:t>
      </w:r>
      <w:r w:rsidR="000E5162" w:rsidRPr="00A91C91">
        <w:rPr>
          <w:color w:val="auto"/>
        </w:rPr>
        <w:t>5-2</w:t>
      </w:r>
      <w:r w:rsidRPr="00A91C91">
        <w:rPr>
          <w:color w:val="auto"/>
        </w:rPr>
        <w:t xml:space="preserve">: Accommodation type, </w:t>
      </w:r>
      <w:r w:rsidR="00D143F2" w:rsidRPr="00A91C91">
        <w:rPr>
          <w:color w:val="auto"/>
        </w:rPr>
        <w:t>Consett</w:t>
      </w:r>
      <w:r w:rsidR="00021F51" w:rsidRPr="00A91C91">
        <w:rPr>
          <w:color w:val="auto"/>
        </w:rPr>
        <w:t xml:space="preserve"> and comparator</w:t>
      </w:r>
      <w:r w:rsidRPr="00A91C91">
        <w:rPr>
          <w:color w:val="auto"/>
        </w:rPr>
        <w:t xml:space="preserve"> geographies, 2021</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7"/>
        <w:gridCol w:w="2291"/>
        <w:gridCol w:w="2291"/>
        <w:gridCol w:w="2495"/>
      </w:tblGrid>
      <w:tr w:rsidR="003B3C47" w:rsidRPr="005C7909" w14:paraId="58B8A054" w14:textId="77777777" w:rsidTr="004172FF">
        <w:trPr>
          <w:trHeight w:val="288"/>
        </w:trPr>
        <w:tc>
          <w:tcPr>
            <w:tcW w:w="1398" w:type="pct"/>
            <w:shd w:val="clear" w:color="auto" w:fill="000000" w:themeFill="text2"/>
            <w:noWrap/>
            <w:vAlign w:val="center"/>
            <w:hideMark/>
          </w:tcPr>
          <w:p w14:paraId="335FB503" w14:textId="77777777" w:rsidR="003B3C47" w:rsidRPr="00374C95" w:rsidRDefault="003B3C47" w:rsidP="00252C91">
            <w:pPr>
              <w:spacing w:line="276" w:lineRule="auto"/>
              <w:jc w:val="both"/>
              <w:rPr>
                <w:rFonts w:asciiTheme="majorHAnsi" w:hAnsiTheme="majorHAnsi" w:cstheme="majorHAnsi"/>
                <w:b/>
                <w:bCs/>
                <w:color w:val="FFFFFF" w:themeColor="background1"/>
                <w:lang w:eastAsia="zh-CN"/>
              </w:rPr>
            </w:pPr>
            <w:r>
              <w:rPr>
                <w:rFonts w:asciiTheme="majorHAnsi" w:hAnsiTheme="majorHAnsi" w:cstheme="majorHAnsi"/>
                <w:b/>
                <w:bCs/>
                <w:color w:val="FFFFFF" w:themeColor="background1"/>
                <w:lang w:eastAsia="zh-CN"/>
              </w:rPr>
              <w:t>T</w:t>
            </w:r>
            <w:r w:rsidRPr="00374C95">
              <w:rPr>
                <w:rFonts w:asciiTheme="majorHAnsi" w:hAnsiTheme="majorHAnsi" w:cstheme="majorHAnsi"/>
                <w:b/>
                <w:bCs/>
                <w:color w:val="FFFFFF" w:themeColor="background1"/>
                <w:lang w:eastAsia="zh-CN"/>
              </w:rPr>
              <w:t>ype</w:t>
            </w:r>
          </w:p>
        </w:tc>
        <w:tc>
          <w:tcPr>
            <w:tcW w:w="1166" w:type="pct"/>
            <w:shd w:val="clear" w:color="000000" w:fill="000000"/>
            <w:noWrap/>
            <w:vAlign w:val="center"/>
          </w:tcPr>
          <w:p w14:paraId="79B01378" w14:textId="6D09BFC5" w:rsidR="003B3C47" w:rsidRPr="00B73FE4" w:rsidRDefault="008975D8" w:rsidP="00B73FE4">
            <w:pPr>
              <w:spacing w:line="276" w:lineRule="auto"/>
              <w:jc w:val="right"/>
              <w:rPr>
                <w:rFonts w:asciiTheme="majorHAnsi" w:hAnsiTheme="majorHAnsi" w:cstheme="majorHAnsi"/>
                <w:b/>
                <w:bCs/>
                <w:color w:val="FFFFFF" w:themeColor="background1"/>
                <w:lang w:eastAsia="zh-CN"/>
              </w:rPr>
            </w:pPr>
            <w:r w:rsidRPr="00B73FE4">
              <w:rPr>
                <w:rFonts w:asciiTheme="majorHAnsi" w:hAnsiTheme="majorHAnsi" w:cstheme="majorHAnsi"/>
                <w:b/>
                <w:bCs/>
                <w:color w:val="FFFFFF" w:themeColor="background1"/>
                <w:lang w:eastAsia="zh-CN"/>
              </w:rPr>
              <w:t>Consett</w:t>
            </w:r>
          </w:p>
        </w:tc>
        <w:tc>
          <w:tcPr>
            <w:tcW w:w="1166" w:type="pct"/>
            <w:shd w:val="clear" w:color="000000" w:fill="000000"/>
            <w:noWrap/>
            <w:vAlign w:val="center"/>
          </w:tcPr>
          <w:p w14:paraId="72E7EB8F" w14:textId="623825F7" w:rsidR="003B3C47" w:rsidRPr="00B73FE4" w:rsidRDefault="00DC6F3A" w:rsidP="00B73FE4">
            <w:pPr>
              <w:spacing w:line="276" w:lineRule="auto"/>
              <w:jc w:val="right"/>
              <w:rPr>
                <w:rFonts w:asciiTheme="majorHAnsi" w:hAnsiTheme="majorHAnsi" w:cstheme="majorHAnsi"/>
                <w:b/>
                <w:bCs/>
                <w:color w:val="FFFFFF" w:themeColor="background1"/>
                <w:lang w:eastAsia="zh-CN"/>
              </w:rPr>
            </w:pPr>
            <w:r w:rsidRPr="00B73FE4">
              <w:rPr>
                <w:rFonts w:asciiTheme="majorHAnsi" w:hAnsiTheme="majorHAnsi" w:cstheme="majorHAnsi"/>
                <w:b/>
                <w:bCs/>
                <w:color w:val="FFFFFF" w:themeColor="background1"/>
                <w:lang w:eastAsia="zh-CN"/>
              </w:rPr>
              <w:t>Durham</w:t>
            </w:r>
          </w:p>
        </w:tc>
        <w:tc>
          <w:tcPr>
            <w:tcW w:w="1270" w:type="pct"/>
            <w:shd w:val="clear" w:color="000000" w:fill="000000"/>
            <w:noWrap/>
            <w:vAlign w:val="center"/>
            <w:hideMark/>
          </w:tcPr>
          <w:p w14:paraId="4644CEA6" w14:textId="77777777" w:rsidR="003B3C47" w:rsidRPr="00B73FE4" w:rsidRDefault="003B3C47" w:rsidP="00B73FE4">
            <w:pPr>
              <w:spacing w:line="276" w:lineRule="auto"/>
              <w:jc w:val="right"/>
              <w:rPr>
                <w:rFonts w:asciiTheme="majorHAnsi" w:hAnsiTheme="majorHAnsi" w:cstheme="majorHAnsi"/>
                <w:b/>
                <w:bCs/>
                <w:color w:val="FFFFFF" w:themeColor="background1"/>
                <w:lang w:eastAsia="zh-CN"/>
              </w:rPr>
            </w:pPr>
            <w:r w:rsidRPr="00B73FE4">
              <w:rPr>
                <w:b/>
                <w:bCs/>
                <w:color w:val="FFFFFF"/>
              </w:rPr>
              <w:t>England</w:t>
            </w:r>
          </w:p>
        </w:tc>
      </w:tr>
      <w:tr w:rsidR="00287F1E" w:rsidRPr="005C7909" w14:paraId="7E83070C" w14:textId="77777777" w:rsidTr="007242D0">
        <w:trPr>
          <w:trHeight w:val="288"/>
        </w:trPr>
        <w:tc>
          <w:tcPr>
            <w:tcW w:w="1398" w:type="pct"/>
            <w:shd w:val="clear" w:color="auto" w:fill="auto"/>
            <w:noWrap/>
          </w:tcPr>
          <w:p w14:paraId="3DEB912E" w14:textId="77777777" w:rsidR="00287F1E" w:rsidRPr="00374C95" w:rsidRDefault="00287F1E" w:rsidP="00287F1E">
            <w:pPr>
              <w:spacing w:line="276" w:lineRule="auto"/>
              <w:jc w:val="both"/>
              <w:rPr>
                <w:rFonts w:asciiTheme="majorHAnsi" w:hAnsiTheme="majorHAnsi" w:cstheme="majorHAnsi"/>
                <w:lang w:eastAsia="zh-CN"/>
              </w:rPr>
            </w:pPr>
            <w:r w:rsidRPr="0092294A">
              <w:t xml:space="preserve">Detached </w:t>
            </w:r>
          </w:p>
        </w:tc>
        <w:tc>
          <w:tcPr>
            <w:tcW w:w="11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2D6350" w14:textId="2CE04DD8" w:rsidR="00287F1E" w:rsidRPr="009F6E52" w:rsidRDefault="00287F1E" w:rsidP="00287F1E">
            <w:pPr>
              <w:spacing w:line="276" w:lineRule="auto"/>
              <w:jc w:val="right"/>
              <w:rPr>
                <w:szCs w:val="24"/>
              </w:rPr>
            </w:pPr>
            <w:r>
              <w:rPr>
                <w:rFonts w:ascii="Arial" w:hAnsi="Arial" w:cs="Arial"/>
                <w:color w:val="000000"/>
                <w:sz w:val="22"/>
                <w:szCs w:val="22"/>
              </w:rPr>
              <w:t>20.1%</w:t>
            </w:r>
          </w:p>
        </w:tc>
        <w:tc>
          <w:tcPr>
            <w:tcW w:w="1166" w:type="pct"/>
            <w:tcBorders>
              <w:top w:val="single" w:sz="4" w:space="0" w:color="auto"/>
              <w:left w:val="nil"/>
              <w:bottom w:val="single" w:sz="4" w:space="0" w:color="auto"/>
              <w:right w:val="single" w:sz="4" w:space="0" w:color="auto"/>
            </w:tcBorders>
            <w:shd w:val="clear" w:color="auto" w:fill="auto"/>
            <w:noWrap/>
            <w:vAlign w:val="bottom"/>
          </w:tcPr>
          <w:p w14:paraId="1547A020" w14:textId="774486F5" w:rsidR="00287F1E" w:rsidRPr="009F6E52" w:rsidRDefault="00287F1E" w:rsidP="00287F1E">
            <w:pPr>
              <w:spacing w:line="276" w:lineRule="auto"/>
              <w:jc w:val="right"/>
              <w:rPr>
                <w:szCs w:val="24"/>
              </w:rPr>
            </w:pPr>
            <w:r>
              <w:rPr>
                <w:rFonts w:ascii="Arial" w:hAnsi="Arial" w:cs="Arial"/>
                <w:color w:val="000000"/>
                <w:sz w:val="22"/>
                <w:szCs w:val="22"/>
              </w:rPr>
              <w:t>20.8%</w:t>
            </w:r>
          </w:p>
        </w:tc>
        <w:tc>
          <w:tcPr>
            <w:tcW w:w="1270" w:type="pct"/>
            <w:tcBorders>
              <w:top w:val="single" w:sz="4" w:space="0" w:color="auto"/>
              <w:left w:val="nil"/>
              <w:bottom w:val="single" w:sz="4" w:space="0" w:color="auto"/>
              <w:right w:val="single" w:sz="4" w:space="0" w:color="auto"/>
            </w:tcBorders>
            <w:shd w:val="clear" w:color="auto" w:fill="auto"/>
            <w:noWrap/>
            <w:vAlign w:val="bottom"/>
          </w:tcPr>
          <w:p w14:paraId="77D6979B" w14:textId="10B94EA5" w:rsidR="00287F1E" w:rsidRPr="008149C6" w:rsidRDefault="00287F1E" w:rsidP="00287F1E">
            <w:pPr>
              <w:spacing w:line="276" w:lineRule="auto"/>
              <w:jc w:val="right"/>
              <w:rPr>
                <w:szCs w:val="24"/>
              </w:rPr>
            </w:pPr>
            <w:r>
              <w:rPr>
                <w:rFonts w:ascii="Arial" w:hAnsi="Arial" w:cs="Arial"/>
                <w:color w:val="000000"/>
                <w:sz w:val="22"/>
                <w:szCs w:val="22"/>
              </w:rPr>
              <w:t>22.9%</w:t>
            </w:r>
          </w:p>
        </w:tc>
      </w:tr>
      <w:tr w:rsidR="00287F1E" w:rsidRPr="005C7909" w14:paraId="1E02A15B" w14:textId="77777777" w:rsidTr="007242D0">
        <w:trPr>
          <w:trHeight w:val="288"/>
        </w:trPr>
        <w:tc>
          <w:tcPr>
            <w:tcW w:w="1398" w:type="pct"/>
            <w:shd w:val="clear" w:color="auto" w:fill="auto"/>
            <w:noWrap/>
          </w:tcPr>
          <w:p w14:paraId="03B24D60" w14:textId="77777777" w:rsidR="00287F1E" w:rsidRPr="00374C95" w:rsidRDefault="00287F1E" w:rsidP="00287F1E">
            <w:pPr>
              <w:spacing w:line="276" w:lineRule="auto"/>
              <w:jc w:val="both"/>
              <w:rPr>
                <w:rFonts w:asciiTheme="majorHAnsi" w:hAnsiTheme="majorHAnsi" w:cstheme="majorHAnsi"/>
                <w:lang w:eastAsia="zh-CN"/>
              </w:rPr>
            </w:pPr>
            <w:r w:rsidRPr="0092294A">
              <w:t>Semi-detached</w:t>
            </w:r>
          </w:p>
        </w:tc>
        <w:tc>
          <w:tcPr>
            <w:tcW w:w="1166" w:type="pct"/>
            <w:tcBorders>
              <w:top w:val="nil"/>
              <w:left w:val="single" w:sz="4" w:space="0" w:color="auto"/>
              <w:bottom w:val="single" w:sz="4" w:space="0" w:color="auto"/>
              <w:right w:val="single" w:sz="4" w:space="0" w:color="auto"/>
            </w:tcBorders>
            <w:shd w:val="clear" w:color="auto" w:fill="auto"/>
            <w:noWrap/>
            <w:vAlign w:val="bottom"/>
          </w:tcPr>
          <w:p w14:paraId="6A4F12A5" w14:textId="29AF7DC2" w:rsidR="00287F1E" w:rsidRPr="009F6E52" w:rsidRDefault="00287F1E" w:rsidP="00287F1E">
            <w:pPr>
              <w:spacing w:line="276" w:lineRule="auto"/>
              <w:jc w:val="right"/>
              <w:rPr>
                <w:szCs w:val="24"/>
              </w:rPr>
            </w:pPr>
            <w:r>
              <w:rPr>
                <w:rFonts w:ascii="Arial" w:hAnsi="Arial" w:cs="Arial"/>
                <w:color w:val="000000"/>
                <w:sz w:val="22"/>
                <w:szCs w:val="22"/>
              </w:rPr>
              <w:t>36.2%</w:t>
            </w:r>
          </w:p>
        </w:tc>
        <w:tc>
          <w:tcPr>
            <w:tcW w:w="1166" w:type="pct"/>
            <w:tcBorders>
              <w:top w:val="nil"/>
              <w:left w:val="nil"/>
              <w:bottom w:val="single" w:sz="4" w:space="0" w:color="auto"/>
              <w:right w:val="single" w:sz="4" w:space="0" w:color="auto"/>
            </w:tcBorders>
            <w:shd w:val="clear" w:color="auto" w:fill="auto"/>
            <w:noWrap/>
            <w:vAlign w:val="bottom"/>
          </w:tcPr>
          <w:p w14:paraId="768B3BAC" w14:textId="3CDB93B7" w:rsidR="00287F1E" w:rsidRPr="009F6E52" w:rsidRDefault="00287F1E" w:rsidP="00287F1E">
            <w:pPr>
              <w:spacing w:line="276" w:lineRule="auto"/>
              <w:jc w:val="right"/>
              <w:rPr>
                <w:szCs w:val="24"/>
              </w:rPr>
            </w:pPr>
            <w:r>
              <w:rPr>
                <w:rFonts w:ascii="Arial" w:hAnsi="Arial" w:cs="Arial"/>
                <w:color w:val="000000"/>
                <w:sz w:val="22"/>
                <w:szCs w:val="22"/>
              </w:rPr>
              <w:t>38.2%</w:t>
            </w:r>
          </w:p>
        </w:tc>
        <w:tc>
          <w:tcPr>
            <w:tcW w:w="1270" w:type="pct"/>
            <w:tcBorders>
              <w:top w:val="nil"/>
              <w:left w:val="nil"/>
              <w:bottom w:val="single" w:sz="4" w:space="0" w:color="auto"/>
              <w:right w:val="single" w:sz="4" w:space="0" w:color="auto"/>
            </w:tcBorders>
            <w:shd w:val="clear" w:color="auto" w:fill="auto"/>
            <w:noWrap/>
            <w:vAlign w:val="bottom"/>
          </w:tcPr>
          <w:p w14:paraId="567D3FBA" w14:textId="01AD6FC1" w:rsidR="00287F1E" w:rsidRPr="009E25EF" w:rsidRDefault="00287F1E" w:rsidP="00287F1E">
            <w:pPr>
              <w:spacing w:line="276" w:lineRule="auto"/>
              <w:jc w:val="right"/>
              <w:rPr>
                <w:rFonts w:asciiTheme="majorHAnsi" w:hAnsiTheme="majorHAnsi" w:cstheme="majorHAnsi"/>
                <w:szCs w:val="24"/>
                <w:lang w:eastAsia="zh-CN"/>
              </w:rPr>
            </w:pPr>
            <w:r>
              <w:rPr>
                <w:rFonts w:ascii="Arial" w:hAnsi="Arial" w:cs="Arial"/>
                <w:color w:val="000000"/>
                <w:sz w:val="22"/>
                <w:szCs w:val="22"/>
              </w:rPr>
              <w:t>31.5%</w:t>
            </w:r>
          </w:p>
        </w:tc>
      </w:tr>
      <w:tr w:rsidR="00287F1E" w:rsidRPr="005C7909" w14:paraId="335F298A" w14:textId="77777777" w:rsidTr="007242D0">
        <w:trPr>
          <w:trHeight w:val="288"/>
        </w:trPr>
        <w:tc>
          <w:tcPr>
            <w:tcW w:w="1398" w:type="pct"/>
            <w:shd w:val="clear" w:color="auto" w:fill="auto"/>
            <w:noWrap/>
          </w:tcPr>
          <w:p w14:paraId="65F4F147" w14:textId="77777777" w:rsidR="00287F1E" w:rsidRPr="00374C95" w:rsidRDefault="00287F1E" w:rsidP="00287F1E">
            <w:pPr>
              <w:spacing w:line="276" w:lineRule="auto"/>
              <w:jc w:val="both"/>
              <w:rPr>
                <w:rFonts w:asciiTheme="majorHAnsi" w:hAnsiTheme="majorHAnsi" w:cstheme="majorHAnsi"/>
                <w:lang w:eastAsia="zh-CN"/>
              </w:rPr>
            </w:pPr>
            <w:r w:rsidRPr="0092294A">
              <w:t>Terrace</w:t>
            </w:r>
          </w:p>
        </w:tc>
        <w:tc>
          <w:tcPr>
            <w:tcW w:w="1166" w:type="pct"/>
            <w:tcBorders>
              <w:top w:val="nil"/>
              <w:left w:val="single" w:sz="4" w:space="0" w:color="auto"/>
              <w:bottom w:val="single" w:sz="4" w:space="0" w:color="auto"/>
              <w:right w:val="single" w:sz="4" w:space="0" w:color="auto"/>
            </w:tcBorders>
            <w:shd w:val="clear" w:color="auto" w:fill="auto"/>
            <w:noWrap/>
            <w:vAlign w:val="bottom"/>
          </w:tcPr>
          <w:p w14:paraId="00D92D1A" w14:textId="51FE936B" w:rsidR="00287F1E" w:rsidRPr="009F6E52" w:rsidRDefault="00287F1E" w:rsidP="00287F1E">
            <w:pPr>
              <w:spacing w:line="276" w:lineRule="auto"/>
              <w:jc w:val="right"/>
              <w:rPr>
                <w:szCs w:val="24"/>
              </w:rPr>
            </w:pPr>
            <w:r>
              <w:rPr>
                <w:rFonts w:ascii="Arial" w:hAnsi="Arial" w:cs="Arial"/>
                <w:color w:val="000000"/>
                <w:sz w:val="22"/>
                <w:szCs w:val="22"/>
              </w:rPr>
              <w:t>38.6%</w:t>
            </w:r>
          </w:p>
        </w:tc>
        <w:tc>
          <w:tcPr>
            <w:tcW w:w="1166" w:type="pct"/>
            <w:tcBorders>
              <w:top w:val="nil"/>
              <w:left w:val="nil"/>
              <w:bottom w:val="single" w:sz="4" w:space="0" w:color="auto"/>
              <w:right w:val="single" w:sz="4" w:space="0" w:color="auto"/>
            </w:tcBorders>
            <w:shd w:val="clear" w:color="auto" w:fill="auto"/>
            <w:noWrap/>
            <w:vAlign w:val="bottom"/>
          </w:tcPr>
          <w:p w14:paraId="26A3FF09" w14:textId="420FF4F5" w:rsidR="00287F1E" w:rsidRPr="009F6E52" w:rsidRDefault="00287F1E" w:rsidP="00287F1E">
            <w:pPr>
              <w:spacing w:line="276" w:lineRule="auto"/>
              <w:jc w:val="right"/>
              <w:rPr>
                <w:szCs w:val="24"/>
              </w:rPr>
            </w:pPr>
            <w:r>
              <w:rPr>
                <w:rFonts w:ascii="Arial" w:hAnsi="Arial" w:cs="Arial"/>
                <w:color w:val="000000"/>
                <w:sz w:val="22"/>
                <w:szCs w:val="22"/>
              </w:rPr>
              <w:t>35.4%</w:t>
            </w:r>
          </w:p>
        </w:tc>
        <w:tc>
          <w:tcPr>
            <w:tcW w:w="1270" w:type="pct"/>
            <w:tcBorders>
              <w:top w:val="nil"/>
              <w:left w:val="nil"/>
              <w:bottom w:val="single" w:sz="4" w:space="0" w:color="auto"/>
              <w:right w:val="single" w:sz="4" w:space="0" w:color="auto"/>
            </w:tcBorders>
            <w:shd w:val="clear" w:color="auto" w:fill="auto"/>
            <w:noWrap/>
            <w:vAlign w:val="bottom"/>
          </w:tcPr>
          <w:p w14:paraId="7C7BC5C6" w14:textId="08A95A9C" w:rsidR="00287F1E" w:rsidRPr="009E25EF" w:rsidRDefault="00287F1E" w:rsidP="00287F1E">
            <w:pPr>
              <w:spacing w:line="276" w:lineRule="auto"/>
              <w:jc w:val="right"/>
              <w:rPr>
                <w:rFonts w:asciiTheme="majorHAnsi" w:hAnsiTheme="majorHAnsi" w:cstheme="majorHAnsi"/>
                <w:szCs w:val="24"/>
                <w:lang w:eastAsia="zh-CN"/>
              </w:rPr>
            </w:pPr>
            <w:r>
              <w:rPr>
                <w:rFonts w:ascii="Arial" w:hAnsi="Arial" w:cs="Arial"/>
                <w:color w:val="000000"/>
                <w:sz w:val="22"/>
                <w:szCs w:val="22"/>
              </w:rPr>
              <w:t>23.0%</w:t>
            </w:r>
          </w:p>
        </w:tc>
      </w:tr>
      <w:tr w:rsidR="00287F1E" w:rsidRPr="005C7909" w14:paraId="1B639922" w14:textId="77777777" w:rsidTr="007242D0">
        <w:trPr>
          <w:trHeight w:val="288"/>
        </w:trPr>
        <w:tc>
          <w:tcPr>
            <w:tcW w:w="1398" w:type="pct"/>
            <w:shd w:val="clear" w:color="auto" w:fill="auto"/>
            <w:noWrap/>
          </w:tcPr>
          <w:p w14:paraId="64C964E1" w14:textId="77777777" w:rsidR="00287F1E" w:rsidRPr="00374C95" w:rsidRDefault="00287F1E" w:rsidP="00287F1E">
            <w:pPr>
              <w:spacing w:line="276" w:lineRule="auto"/>
              <w:jc w:val="both"/>
              <w:rPr>
                <w:rFonts w:asciiTheme="majorHAnsi" w:hAnsiTheme="majorHAnsi" w:cstheme="majorHAnsi"/>
                <w:lang w:eastAsia="zh-CN"/>
              </w:rPr>
            </w:pPr>
            <w:r w:rsidRPr="0092294A">
              <w:t>Flat</w:t>
            </w:r>
          </w:p>
        </w:tc>
        <w:tc>
          <w:tcPr>
            <w:tcW w:w="1166" w:type="pct"/>
            <w:tcBorders>
              <w:top w:val="nil"/>
              <w:left w:val="single" w:sz="4" w:space="0" w:color="auto"/>
              <w:bottom w:val="single" w:sz="4" w:space="0" w:color="auto"/>
              <w:right w:val="single" w:sz="4" w:space="0" w:color="auto"/>
            </w:tcBorders>
            <w:shd w:val="clear" w:color="auto" w:fill="auto"/>
            <w:noWrap/>
            <w:vAlign w:val="bottom"/>
          </w:tcPr>
          <w:p w14:paraId="1D2FEC19" w14:textId="4EA059AE" w:rsidR="00287F1E" w:rsidRPr="009F6E52" w:rsidRDefault="00287F1E" w:rsidP="00287F1E">
            <w:pPr>
              <w:spacing w:line="276" w:lineRule="auto"/>
              <w:jc w:val="right"/>
              <w:rPr>
                <w:szCs w:val="24"/>
              </w:rPr>
            </w:pPr>
            <w:r>
              <w:rPr>
                <w:rFonts w:ascii="Arial" w:hAnsi="Arial" w:cs="Arial"/>
                <w:color w:val="000000"/>
                <w:sz w:val="22"/>
                <w:szCs w:val="22"/>
              </w:rPr>
              <w:t>5.2%</w:t>
            </w:r>
          </w:p>
        </w:tc>
        <w:tc>
          <w:tcPr>
            <w:tcW w:w="1166" w:type="pct"/>
            <w:tcBorders>
              <w:top w:val="nil"/>
              <w:left w:val="nil"/>
              <w:bottom w:val="single" w:sz="4" w:space="0" w:color="auto"/>
              <w:right w:val="single" w:sz="4" w:space="0" w:color="auto"/>
            </w:tcBorders>
            <w:shd w:val="clear" w:color="auto" w:fill="auto"/>
            <w:noWrap/>
            <w:vAlign w:val="bottom"/>
          </w:tcPr>
          <w:p w14:paraId="5281452F" w14:textId="45436FA7" w:rsidR="00287F1E" w:rsidRPr="009F6E52" w:rsidRDefault="00287F1E" w:rsidP="00287F1E">
            <w:pPr>
              <w:spacing w:line="276" w:lineRule="auto"/>
              <w:jc w:val="right"/>
              <w:rPr>
                <w:szCs w:val="24"/>
              </w:rPr>
            </w:pPr>
            <w:r>
              <w:rPr>
                <w:rFonts w:ascii="Arial" w:hAnsi="Arial" w:cs="Arial"/>
                <w:color w:val="000000"/>
                <w:sz w:val="22"/>
                <w:szCs w:val="22"/>
              </w:rPr>
              <w:t>5.4%</w:t>
            </w:r>
          </w:p>
        </w:tc>
        <w:tc>
          <w:tcPr>
            <w:tcW w:w="1270" w:type="pct"/>
            <w:tcBorders>
              <w:top w:val="nil"/>
              <w:left w:val="nil"/>
              <w:bottom w:val="single" w:sz="4" w:space="0" w:color="auto"/>
              <w:right w:val="single" w:sz="4" w:space="0" w:color="auto"/>
            </w:tcBorders>
            <w:shd w:val="clear" w:color="auto" w:fill="auto"/>
            <w:noWrap/>
            <w:vAlign w:val="bottom"/>
          </w:tcPr>
          <w:p w14:paraId="44480E91" w14:textId="118C64F9" w:rsidR="00287F1E" w:rsidRPr="009E25EF" w:rsidRDefault="00287F1E" w:rsidP="00287F1E">
            <w:pPr>
              <w:spacing w:line="276" w:lineRule="auto"/>
              <w:jc w:val="right"/>
              <w:rPr>
                <w:rFonts w:asciiTheme="majorHAnsi" w:hAnsiTheme="majorHAnsi" w:cstheme="majorHAnsi"/>
                <w:szCs w:val="24"/>
                <w:lang w:eastAsia="zh-CN"/>
              </w:rPr>
            </w:pPr>
            <w:r>
              <w:rPr>
                <w:rFonts w:ascii="Arial" w:hAnsi="Arial" w:cs="Arial"/>
                <w:color w:val="000000"/>
                <w:sz w:val="22"/>
                <w:szCs w:val="22"/>
              </w:rPr>
              <w:t>22.2%</w:t>
            </w:r>
          </w:p>
        </w:tc>
      </w:tr>
    </w:tbl>
    <w:p w14:paraId="56F679A1" w14:textId="77777777" w:rsidR="003B3C47" w:rsidRDefault="003B3C47" w:rsidP="00252C91">
      <w:pPr>
        <w:pStyle w:val="Source"/>
        <w:jc w:val="both"/>
      </w:pPr>
      <w:r w:rsidRPr="005C7909">
        <w:t xml:space="preserve">Source: </w:t>
      </w:r>
      <w:r>
        <w:t>Census 2021</w:t>
      </w:r>
      <w:r w:rsidRPr="005C7909">
        <w:t>, AECOM Calculations</w:t>
      </w:r>
    </w:p>
    <w:p w14:paraId="6BEE8ABB" w14:textId="77777777" w:rsidR="003B3C47" w:rsidRPr="00764F1A" w:rsidRDefault="003B3C47" w:rsidP="00252C91">
      <w:pPr>
        <w:pStyle w:val="Heading3"/>
        <w:jc w:val="both"/>
        <w:rPr>
          <w:color w:val="auto"/>
        </w:rPr>
      </w:pPr>
      <w:bookmarkStart w:id="122" w:name="_Toc31722659"/>
      <w:bookmarkStart w:id="123" w:name="_Toc102731866"/>
      <w:bookmarkEnd w:id="121"/>
      <w:r w:rsidRPr="00764F1A">
        <w:rPr>
          <w:color w:val="auto"/>
        </w:rPr>
        <w:t>Dwelling size</w:t>
      </w:r>
      <w:bookmarkEnd w:id="122"/>
      <w:bookmarkEnd w:id="123"/>
    </w:p>
    <w:p w14:paraId="394D0868" w14:textId="57297C19" w:rsidR="003B3C47" w:rsidRDefault="003B3C47" w:rsidP="00252C91">
      <w:pPr>
        <w:pStyle w:val="Numberedtext"/>
        <w:jc w:val="both"/>
      </w:pPr>
      <w:bookmarkStart w:id="124" w:name="_Ref2877767"/>
      <w:bookmarkStart w:id="125" w:name="_Toc533017436"/>
      <w:bookmarkStart w:id="126" w:name="_Toc536797448"/>
      <w:r w:rsidRPr="005011CA">
        <w:t xml:space="preserve">Table </w:t>
      </w:r>
      <w:r w:rsidR="005011CA">
        <w:t>5-3</w:t>
      </w:r>
      <w:r w:rsidRPr="005011CA">
        <w:t xml:space="preserve"> below presents the current housing mix in terms of size compared to the wider local authority and country. It shows</w:t>
      </w:r>
      <w:r w:rsidR="007F45DA" w:rsidRPr="005011CA">
        <w:t xml:space="preserve"> the NA is dominated by homes with either 2 or 3 bedrooms, </w:t>
      </w:r>
      <w:r w:rsidR="000709BB">
        <w:t xml:space="preserve">which cumulatively make up </w:t>
      </w:r>
      <w:r w:rsidR="00B24B43">
        <w:t xml:space="preserve">approximately four fifths of all homes in Consett. The remainder is made up of </w:t>
      </w:r>
      <w:r w:rsidR="00740A13">
        <w:t>4+ bedroom homes and a very small proportion of 1-bed</w:t>
      </w:r>
      <w:r w:rsidR="004E1AF7">
        <w:t xml:space="preserve"> units. </w:t>
      </w:r>
    </w:p>
    <w:p w14:paraId="70F0D583" w14:textId="20712463" w:rsidR="0058274C" w:rsidRDefault="004E1AF7" w:rsidP="00EA640E">
      <w:pPr>
        <w:pStyle w:val="Numberedtext"/>
        <w:jc w:val="both"/>
      </w:pPr>
      <w:r>
        <w:t xml:space="preserve">In terms of changes over the last decade, </w:t>
      </w:r>
      <w:r w:rsidR="003702DD">
        <w:t xml:space="preserve">despite </w:t>
      </w:r>
      <w:r>
        <w:t>each of the different size cate</w:t>
      </w:r>
      <w:r w:rsidR="003702DD">
        <w:t xml:space="preserve">gories experiencing </w:t>
      </w:r>
      <w:r w:rsidR="003A00B6">
        <w:t xml:space="preserve">an increase in their absolute numbers, this has not shifted the </w:t>
      </w:r>
      <w:r w:rsidR="003A00B6">
        <w:lastRenderedPageBreak/>
        <w:t xml:space="preserve">proportional share </w:t>
      </w:r>
      <w:r w:rsidR="00172BCF">
        <w:t xml:space="preserve">across all dwelling sizes. </w:t>
      </w:r>
      <w:r w:rsidR="003A00B6">
        <w:t xml:space="preserve"> </w:t>
      </w:r>
      <w:r w:rsidR="00B118DA">
        <w:t xml:space="preserve">However, the most notable increases are in dwellings with either 3 (+535) or 4+ (+316) </w:t>
      </w:r>
      <w:r w:rsidR="00EA640E">
        <w:t xml:space="preserve">bedrooms, meaning the new homes that have been </w:t>
      </w:r>
      <w:r w:rsidR="00EA640E" w:rsidRPr="00953077">
        <w:t xml:space="preserve">built in the NA have tended to be larger in size. </w:t>
      </w:r>
    </w:p>
    <w:p w14:paraId="6CF17F8E" w14:textId="2902C5F4" w:rsidR="007F45DA" w:rsidRPr="00953077" w:rsidRDefault="007F45DA" w:rsidP="007F45DA">
      <w:pPr>
        <w:pStyle w:val="Caption"/>
        <w:jc w:val="both"/>
        <w:rPr>
          <w:color w:val="auto"/>
        </w:rPr>
      </w:pPr>
      <w:r w:rsidRPr="00953077">
        <w:rPr>
          <w:color w:val="auto"/>
        </w:rPr>
        <w:t xml:space="preserve">Table </w:t>
      </w:r>
      <w:r w:rsidR="00EA640E" w:rsidRPr="00953077">
        <w:rPr>
          <w:color w:val="auto"/>
        </w:rPr>
        <w:t>5-3</w:t>
      </w:r>
      <w:r w:rsidRPr="00953077">
        <w:rPr>
          <w:color w:val="auto"/>
        </w:rPr>
        <w:t xml:space="preserve">: </w:t>
      </w:r>
      <w:r w:rsidR="0018457F">
        <w:rPr>
          <w:color w:val="auto"/>
        </w:rPr>
        <w:t>Household</w:t>
      </w:r>
      <w:r w:rsidRPr="00953077">
        <w:rPr>
          <w:color w:val="auto"/>
        </w:rPr>
        <w:t xml:space="preserve"> size (bedrooms), Consett, 2011-2021</w:t>
      </w:r>
    </w:p>
    <w:tbl>
      <w:tblPr>
        <w:tblW w:w="526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1995"/>
        <w:gridCol w:w="1821"/>
        <w:gridCol w:w="1864"/>
        <w:gridCol w:w="1630"/>
      </w:tblGrid>
      <w:tr w:rsidR="007F45DA" w:rsidRPr="00953077" w14:paraId="3F64533B" w14:textId="77777777" w:rsidTr="004A503C">
        <w:trPr>
          <w:trHeight w:val="288"/>
        </w:trPr>
        <w:tc>
          <w:tcPr>
            <w:tcW w:w="1467" w:type="pct"/>
            <w:shd w:val="clear" w:color="auto" w:fill="000000" w:themeFill="text2"/>
            <w:noWrap/>
            <w:vAlign w:val="center"/>
            <w:hideMark/>
          </w:tcPr>
          <w:p w14:paraId="07B75FB4" w14:textId="77777777" w:rsidR="007F45DA" w:rsidRPr="00953077" w:rsidRDefault="007F45DA" w:rsidP="004A503C">
            <w:pPr>
              <w:spacing w:line="276" w:lineRule="auto"/>
              <w:jc w:val="both"/>
              <w:rPr>
                <w:rFonts w:cstheme="minorHAnsi"/>
                <w:b/>
                <w:color w:val="FFFFFF" w:themeColor="background1"/>
                <w:lang w:eastAsia="zh-CN"/>
              </w:rPr>
            </w:pPr>
            <w:r w:rsidRPr="00953077">
              <w:rPr>
                <w:rFonts w:cstheme="minorHAnsi"/>
                <w:b/>
                <w:bCs/>
                <w:color w:val="FFFFFF" w:themeColor="background1"/>
                <w:lang w:eastAsia="zh-CN"/>
              </w:rPr>
              <w:t>Number of bedrooms</w:t>
            </w:r>
          </w:p>
        </w:tc>
        <w:tc>
          <w:tcPr>
            <w:tcW w:w="964" w:type="pct"/>
            <w:shd w:val="clear" w:color="auto" w:fill="000000" w:themeFill="text2"/>
            <w:noWrap/>
            <w:vAlign w:val="center"/>
          </w:tcPr>
          <w:p w14:paraId="20DF2C46" w14:textId="77777777" w:rsidR="007F45DA" w:rsidRPr="00953077" w:rsidRDefault="007F45DA" w:rsidP="004A503C">
            <w:pPr>
              <w:spacing w:line="276" w:lineRule="auto"/>
              <w:jc w:val="center"/>
              <w:rPr>
                <w:rFonts w:cstheme="minorHAnsi"/>
                <w:b/>
                <w:color w:val="FFFFFF" w:themeColor="background1"/>
                <w:lang w:eastAsia="zh-CN"/>
              </w:rPr>
            </w:pPr>
            <w:r w:rsidRPr="00953077">
              <w:rPr>
                <w:rFonts w:cstheme="minorHAnsi"/>
                <w:b/>
                <w:color w:val="FFFFFF" w:themeColor="background1"/>
                <w:lang w:eastAsia="zh-CN"/>
              </w:rPr>
              <w:t>2011</w:t>
            </w:r>
          </w:p>
        </w:tc>
        <w:tc>
          <w:tcPr>
            <w:tcW w:w="880" w:type="pct"/>
            <w:shd w:val="clear" w:color="auto" w:fill="000000" w:themeFill="text2"/>
            <w:vAlign w:val="center"/>
          </w:tcPr>
          <w:p w14:paraId="2CB22F88" w14:textId="77777777" w:rsidR="007F45DA" w:rsidRPr="00953077" w:rsidRDefault="007F45DA" w:rsidP="004A503C">
            <w:pPr>
              <w:spacing w:line="276" w:lineRule="auto"/>
              <w:jc w:val="center"/>
              <w:rPr>
                <w:rFonts w:cstheme="minorHAnsi"/>
                <w:b/>
                <w:color w:val="FFFFFF" w:themeColor="background1"/>
                <w:lang w:eastAsia="zh-CN"/>
              </w:rPr>
            </w:pPr>
            <w:r w:rsidRPr="00953077">
              <w:rPr>
                <w:rFonts w:cstheme="minorHAnsi"/>
                <w:b/>
                <w:color w:val="FFFFFF" w:themeColor="background1"/>
                <w:lang w:eastAsia="zh-CN"/>
              </w:rPr>
              <w:t>%</w:t>
            </w:r>
          </w:p>
        </w:tc>
        <w:tc>
          <w:tcPr>
            <w:tcW w:w="901" w:type="pct"/>
            <w:shd w:val="clear" w:color="auto" w:fill="000000" w:themeFill="text2"/>
          </w:tcPr>
          <w:p w14:paraId="4AD62D6D" w14:textId="77777777" w:rsidR="007F45DA" w:rsidRPr="00953077" w:rsidRDefault="007F45DA" w:rsidP="004A503C">
            <w:pPr>
              <w:spacing w:line="276" w:lineRule="auto"/>
              <w:jc w:val="center"/>
              <w:rPr>
                <w:rFonts w:cstheme="minorHAnsi"/>
                <w:b/>
                <w:color w:val="FFFFFF" w:themeColor="background1"/>
                <w:lang w:eastAsia="zh-CN"/>
              </w:rPr>
            </w:pPr>
            <w:r w:rsidRPr="00953077">
              <w:rPr>
                <w:rFonts w:cstheme="minorHAnsi"/>
                <w:b/>
                <w:color w:val="FFFFFF" w:themeColor="background1"/>
                <w:lang w:eastAsia="zh-CN"/>
              </w:rPr>
              <w:t>2021</w:t>
            </w:r>
          </w:p>
        </w:tc>
        <w:tc>
          <w:tcPr>
            <w:tcW w:w="788" w:type="pct"/>
            <w:shd w:val="clear" w:color="auto" w:fill="000000" w:themeFill="text2"/>
            <w:noWrap/>
            <w:vAlign w:val="center"/>
          </w:tcPr>
          <w:p w14:paraId="15999135" w14:textId="77777777" w:rsidR="007F45DA" w:rsidRPr="00953077" w:rsidRDefault="007F45DA" w:rsidP="004A503C">
            <w:pPr>
              <w:spacing w:line="276" w:lineRule="auto"/>
              <w:jc w:val="center"/>
              <w:rPr>
                <w:rFonts w:cstheme="minorHAnsi"/>
                <w:b/>
                <w:color w:val="FFFFFF" w:themeColor="background1"/>
                <w:lang w:eastAsia="zh-CN"/>
              </w:rPr>
            </w:pPr>
            <w:r w:rsidRPr="00953077">
              <w:rPr>
                <w:rFonts w:cstheme="minorHAnsi"/>
                <w:b/>
                <w:color w:val="FFFFFF" w:themeColor="background1"/>
                <w:lang w:eastAsia="zh-CN"/>
              </w:rPr>
              <w:t>%</w:t>
            </w:r>
          </w:p>
        </w:tc>
      </w:tr>
      <w:tr w:rsidR="007F45DA" w:rsidRPr="00953077" w14:paraId="76CCF698" w14:textId="77777777" w:rsidTr="004A503C">
        <w:trPr>
          <w:trHeight w:val="288"/>
        </w:trPr>
        <w:tc>
          <w:tcPr>
            <w:tcW w:w="1467" w:type="pct"/>
            <w:shd w:val="clear" w:color="auto" w:fill="auto"/>
            <w:noWrap/>
            <w:vAlign w:val="center"/>
            <w:hideMark/>
          </w:tcPr>
          <w:p w14:paraId="06D9C206" w14:textId="77777777" w:rsidR="007F45DA" w:rsidRPr="00953077" w:rsidRDefault="007F45DA" w:rsidP="004A503C">
            <w:pPr>
              <w:spacing w:line="276" w:lineRule="auto"/>
              <w:jc w:val="both"/>
              <w:rPr>
                <w:rFonts w:cstheme="minorHAnsi"/>
                <w:lang w:eastAsia="zh-CN"/>
              </w:rPr>
            </w:pPr>
            <w:r w:rsidRPr="00953077">
              <w:rPr>
                <w:rFonts w:cstheme="minorHAnsi"/>
                <w:lang w:eastAsia="zh-CN"/>
              </w:rPr>
              <w:t xml:space="preserve">1 </w:t>
            </w:r>
          </w:p>
        </w:tc>
        <w:tc>
          <w:tcPr>
            <w:tcW w:w="9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F50D82" w14:textId="77777777" w:rsidR="007F45DA" w:rsidRPr="00953077" w:rsidRDefault="007F45DA" w:rsidP="004A503C">
            <w:pPr>
              <w:spacing w:line="276" w:lineRule="auto"/>
              <w:jc w:val="right"/>
              <w:rPr>
                <w:rFonts w:cstheme="minorHAnsi"/>
                <w:szCs w:val="24"/>
                <w:lang w:eastAsia="zh-CN"/>
              </w:rPr>
            </w:pPr>
            <w:r w:rsidRPr="00953077">
              <w:rPr>
                <w:rFonts w:ascii="Arial" w:hAnsi="Arial" w:cs="Arial"/>
                <w:color w:val="000000"/>
                <w:sz w:val="22"/>
                <w:szCs w:val="22"/>
              </w:rPr>
              <w:t>617</w:t>
            </w:r>
          </w:p>
        </w:tc>
        <w:tc>
          <w:tcPr>
            <w:tcW w:w="880" w:type="pct"/>
            <w:tcBorders>
              <w:top w:val="single" w:sz="4" w:space="0" w:color="auto"/>
              <w:left w:val="nil"/>
              <w:bottom w:val="single" w:sz="4" w:space="0" w:color="auto"/>
              <w:right w:val="single" w:sz="4" w:space="0" w:color="auto"/>
            </w:tcBorders>
            <w:shd w:val="clear" w:color="auto" w:fill="auto"/>
            <w:vAlign w:val="bottom"/>
          </w:tcPr>
          <w:p w14:paraId="5614304F" w14:textId="77777777" w:rsidR="007F45DA" w:rsidRPr="00953077" w:rsidRDefault="007F45DA" w:rsidP="004A503C">
            <w:pPr>
              <w:spacing w:line="276" w:lineRule="auto"/>
              <w:jc w:val="right"/>
              <w:rPr>
                <w:rFonts w:cstheme="minorHAnsi"/>
                <w:lang w:eastAsia="zh-CN"/>
              </w:rPr>
            </w:pPr>
            <w:r w:rsidRPr="00953077">
              <w:rPr>
                <w:rFonts w:ascii="Arial" w:hAnsi="Arial" w:cs="Arial"/>
                <w:color w:val="000000"/>
                <w:sz w:val="22"/>
                <w:szCs w:val="22"/>
              </w:rPr>
              <w:t>3.8%</w:t>
            </w:r>
          </w:p>
        </w:tc>
        <w:tc>
          <w:tcPr>
            <w:tcW w:w="901" w:type="pct"/>
            <w:tcBorders>
              <w:top w:val="single" w:sz="4" w:space="0" w:color="auto"/>
              <w:left w:val="nil"/>
              <w:bottom w:val="single" w:sz="4" w:space="0" w:color="auto"/>
              <w:right w:val="single" w:sz="4" w:space="0" w:color="auto"/>
            </w:tcBorders>
            <w:shd w:val="clear" w:color="auto" w:fill="auto"/>
            <w:vAlign w:val="bottom"/>
          </w:tcPr>
          <w:p w14:paraId="5F8E18BE" w14:textId="77777777" w:rsidR="007F45DA" w:rsidRPr="00953077" w:rsidRDefault="007F45DA" w:rsidP="004A503C">
            <w:pPr>
              <w:spacing w:line="276" w:lineRule="auto"/>
              <w:jc w:val="right"/>
              <w:rPr>
                <w:rFonts w:cstheme="minorHAnsi"/>
                <w:lang w:eastAsia="zh-CN"/>
              </w:rPr>
            </w:pPr>
            <w:r w:rsidRPr="00953077">
              <w:rPr>
                <w:rFonts w:ascii="Arial" w:hAnsi="Arial" w:cs="Arial"/>
                <w:color w:val="000000"/>
                <w:sz w:val="22"/>
                <w:szCs w:val="22"/>
              </w:rPr>
              <w:t>652</w:t>
            </w:r>
          </w:p>
        </w:tc>
        <w:tc>
          <w:tcPr>
            <w:tcW w:w="788" w:type="pct"/>
            <w:tcBorders>
              <w:top w:val="single" w:sz="4" w:space="0" w:color="auto"/>
              <w:left w:val="nil"/>
              <w:bottom w:val="single" w:sz="4" w:space="0" w:color="auto"/>
              <w:right w:val="single" w:sz="4" w:space="0" w:color="auto"/>
            </w:tcBorders>
            <w:shd w:val="clear" w:color="auto" w:fill="auto"/>
            <w:noWrap/>
            <w:vAlign w:val="bottom"/>
          </w:tcPr>
          <w:p w14:paraId="69582D41" w14:textId="77777777" w:rsidR="007F45DA" w:rsidRPr="00953077" w:rsidRDefault="007F45DA" w:rsidP="004A503C">
            <w:pPr>
              <w:spacing w:line="276" w:lineRule="auto"/>
              <w:jc w:val="right"/>
              <w:rPr>
                <w:rFonts w:cstheme="minorHAnsi"/>
                <w:lang w:eastAsia="zh-CN"/>
              </w:rPr>
            </w:pPr>
            <w:r w:rsidRPr="00953077">
              <w:rPr>
                <w:rFonts w:ascii="Arial" w:hAnsi="Arial" w:cs="Arial"/>
                <w:color w:val="000000"/>
                <w:sz w:val="22"/>
                <w:szCs w:val="22"/>
              </w:rPr>
              <w:t>3.7%</w:t>
            </w:r>
          </w:p>
        </w:tc>
      </w:tr>
      <w:tr w:rsidR="007F45DA" w:rsidRPr="00953077" w14:paraId="1221301D" w14:textId="77777777" w:rsidTr="004A503C">
        <w:trPr>
          <w:trHeight w:val="288"/>
        </w:trPr>
        <w:tc>
          <w:tcPr>
            <w:tcW w:w="1467" w:type="pct"/>
            <w:shd w:val="clear" w:color="auto" w:fill="auto"/>
            <w:noWrap/>
            <w:vAlign w:val="center"/>
            <w:hideMark/>
          </w:tcPr>
          <w:p w14:paraId="301D1936" w14:textId="77777777" w:rsidR="007F45DA" w:rsidRPr="00953077" w:rsidRDefault="007F45DA" w:rsidP="004A503C">
            <w:pPr>
              <w:spacing w:line="276" w:lineRule="auto"/>
              <w:jc w:val="both"/>
              <w:rPr>
                <w:rFonts w:cstheme="minorHAnsi"/>
                <w:lang w:eastAsia="zh-CN"/>
              </w:rPr>
            </w:pPr>
            <w:r w:rsidRPr="00953077">
              <w:rPr>
                <w:rFonts w:cstheme="minorHAnsi"/>
                <w:lang w:eastAsia="zh-CN"/>
              </w:rPr>
              <w:t>2</w:t>
            </w:r>
          </w:p>
        </w:tc>
        <w:tc>
          <w:tcPr>
            <w:tcW w:w="964" w:type="pct"/>
            <w:tcBorders>
              <w:top w:val="nil"/>
              <w:left w:val="single" w:sz="4" w:space="0" w:color="auto"/>
              <w:bottom w:val="single" w:sz="4" w:space="0" w:color="auto"/>
              <w:right w:val="single" w:sz="4" w:space="0" w:color="auto"/>
            </w:tcBorders>
            <w:shd w:val="clear" w:color="auto" w:fill="auto"/>
            <w:noWrap/>
            <w:vAlign w:val="bottom"/>
          </w:tcPr>
          <w:p w14:paraId="675CE6FC" w14:textId="4B6D15FA" w:rsidR="007F45DA" w:rsidRPr="00953077" w:rsidRDefault="007F45DA" w:rsidP="004A503C">
            <w:pPr>
              <w:spacing w:line="276" w:lineRule="auto"/>
              <w:jc w:val="right"/>
              <w:rPr>
                <w:rFonts w:cstheme="minorHAnsi"/>
                <w:szCs w:val="24"/>
                <w:lang w:eastAsia="zh-CN"/>
              </w:rPr>
            </w:pPr>
            <w:r w:rsidRPr="00953077">
              <w:rPr>
                <w:rFonts w:ascii="Arial" w:hAnsi="Arial" w:cs="Arial"/>
                <w:color w:val="000000"/>
                <w:sz w:val="22"/>
                <w:szCs w:val="22"/>
              </w:rPr>
              <w:t>5</w:t>
            </w:r>
            <w:r w:rsidR="0058274C" w:rsidRPr="00953077">
              <w:rPr>
                <w:rFonts w:ascii="Arial" w:hAnsi="Arial" w:cs="Arial"/>
                <w:color w:val="000000"/>
                <w:sz w:val="22"/>
                <w:szCs w:val="22"/>
              </w:rPr>
              <w:t>,</w:t>
            </w:r>
            <w:r w:rsidRPr="00953077">
              <w:rPr>
                <w:rFonts w:ascii="Arial" w:hAnsi="Arial" w:cs="Arial"/>
                <w:color w:val="000000"/>
                <w:sz w:val="22"/>
                <w:szCs w:val="22"/>
              </w:rPr>
              <w:t>545</w:t>
            </w:r>
          </w:p>
        </w:tc>
        <w:tc>
          <w:tcPr>
            <w:tcW w:w="880" w:type="pct"/>
            <w:tcBorders>
              <w:top w:val="nil"/>
              <w:left w:val="nil"/>
              <w:bottom w:val="single" w:sz="4" w:space="0" w:color="auto"/>
              <w:right w:val="single" w:sz="4" w:space="0" w:color="auto"/>
            </w:tcBorders>
            <w:shd w:val="clear" w:color="auto" w:fill="auto"/>
            <w:vAlign w:val="bottom"/>
          </w:tcPr>
          <w:p w14:paraId="72163E7D" w14:textId="77777777" w:rsidR="007F45DA" w:rsidRPr="00953077" w:rsidRDefault="007F45DA" w:rsidP="004A503C">
            <w:pPr>
              <w:spacing w:line="276" w:lineRule="auto"/>
              <w:jc w:val="right"/>
              <w:rPr>
                <w:rFonts w:cstheme="minorHAnsi"/>
                <w:lang w:eastAsia="zh-CN"/>
              </w:rPr>
            </w:pPr>
            <w:r w:rsidRPr="00953077">
              <w:rPr>
                <w:rFonts w:ascii="Arial" w:hAnsi="Arial" w:cs="Arial"/>
                <w:color w:val="000000"/>
                <w:sz w:val="22"/>
                <w:szCs w:val="22"/>
              </w:rPr>
              <w:t>33.8%</w:t>
            </w:r>
          </w:p>
        </w:tc>
        <w:tc>
          <w:tcPr>
            <w:tcW w:w="901" w:type="pct"/>
            <w:tcBorders>
              <w:top w:val="nil"/>
              <w:left w:val="nil"/>
              <w:bottom w:val="single" w:sz="4" w:space="0" w:color="auto"/>
              <w:right w:val="single" w:sz="4" w:space="0" w:color="auto"/>
            </w:tcBorders>
            <w:shd w:val="clear" w:color="auto" w:fill="auto"/>
            <w:vAlign w:val="bottom"/>
          </w:tcPr>
          <w:p w14:paraId="5A6845A8" w14:textId="77777777" w:rsidR="007F45DA" w:rsidRPr="00953077" w:rsidRDefault="007F45DA" w:rsidP="004A503C">
            <w:pPr>
              <w:spacing w:line="276" w:lineRule="auto"/>
              <w:jc w:val="right"/>
              <w:rPr>
                <w:rFonts w:cstheme="minorHAnsi"/>
                <w:lang w:eastAsia="zh-CN"/>
              </w:rPr>
            </w:pPr>
            <w:r w:rsidRPr="00953077">
              <w:rPr>
                <w:rFonts w:ascii="Arial" w:hAnsi="Arial" w:cs="Arial"/>
                <w:color w:val="000000"/>
                <w:sz w:val="22"/>
                <w:szCs w:val="22"/>
              </w:rPr>
              <w:t>5,727</w:t>
            </w:r>
          </w:p>
        </w:tc>
        <w:tc>
          <w:tcPr>
            <w:tcW w:w="788" w:type="pct"/>
            <w:tcBorders>
              <w:top w:val="nil"/>
              <w:left w:val="nil"/>
              <w:bottom w:val="single" w:sz="4" w:space="0" w:color="auto"/>
              <w:right w:val="single" w:sz="4" w:space="0" w:color="auto"/>
            </w:tcBorders>
            <w:shd w:val="clear" w:color="auto" w:fill="auto"/>
            <w:noWrap/>
            <w:vAlign w:val="bottom"/>
          </w:tcPr>
          <w:p w14:paraId="6D452ECC" w14:textId="77777777" w:rsidR="007F45DA" w:rsidRPr="00953077" w:rsidRDefault="007F45DA" w:rsidP="004A503C">
            <w:pPr>
              <w:spacing w:line="276" w:lineRule="auto"/>
              <w:jc w:val="right"/>
              <w:rPr>
                <w:rFonts w:cstheme="minorHAnsi"/>
                <w:lang w:eastAsia="zh-CN"/>
              </w:rPr>
            </w:pPr>
            <w:r w:rsidRPr="00953077">
              <w:rPr>
                <w:rFonts w:ascii="Arial" w:hAnsi="Arial" w:cs="Arial"/>
                <w:color w:val="000000"/>
                <w:sz w:val="22"/>
                <w:szCs w:val="22"/>
              </w:rPr>
              <w:t>32.8%</w:t>
            </w:r>
          </w:p>
        </w:tc>
      </w:tr>
      <w:tr w:rsidR="007F45DA" w:rsidRPr="00953077" w14:paraId="0235A62C" w14:textId="77777777" w:rsidTr="004A503C">
        <w:trPr>
          <w:trHeight w:val="288"/>
        </w:trPr>
        <w:tc>
          <w:tcPr>
            <w:tcW w:w="1467" w:type="pct"/>
            <w:shd w:val="clear" w:color="auto" w:fill="auto"/>
            <w:noWrap/>
            <w:vAlign w:val="center"/>
            <w:hideMark/>
          </w:tcPr>
          <w:p w14:paraId="1E3F8082" w14:textId="77777777" w:rsidR="007F45DA" w:rsidRPr="00953077" w:rsidRDefault="007F45DA" w:rsidP="004A503C">
            <w:pPr>
              <w:spacing w:line="276" w:lineRule="auto"/>
              <w:jc w:val="both"/>
              <w:rPr>
                <w:rFonts w:cstheme="minorHAnsi"/>
                <w:lang w:eastAsia="zh-CN"/>
              </w:rPr>
            </w:pPr>
            <w:r w:rsidRPr="00953077">
              <w:rPr>
                <w:rFonts w:cstheme="minorHAnsi"/>
                <w:lang w:eastAsia="zh-CN"/>
              </w:rPr>
              <w:t xml:space="preserve">3 </w:t>
            </w:r>
          </w:p>
        </w:tc>
        <w:tc>
          <w:tcPr>
            <w:tcW w:w="964" w:type="pct"/>
            <w:tcBorders>
              <w:top w:val="nil"/>
              <w:left w:val="single" w:sz="4" w:space="0" w:color="auto"/>
              <w:bottom w:val="single" w:sz="4" w:space="0" w:color="auto"/>
              <w:right w:val="single" w:sz="4" w:space="0" w:color="auto"/>
            </w:tcBorders>
            <w:shd w:val="clear" w:color="auto" w:fill="auto"/>
            <w:noWrap/>
            <w:vAlign w:val="bottom"/>
          </w:tcPr>
          <w:p w14:paraId="0531C902" w14:textId="32F0F615" w:rsidR="007F45DA" w:rsidRPr="00953077" w:rsidRDefault="007F45DA" w:rsidP="004A503C">
            <w:pPr>
              <w:spacing w:line="276" w:lineRule="auto"/>
              <w:jc w:val="right"/>
              <w:rPr>
                <w:rFonts w:cstheme="minorHAnsi"/>
                <w:szCs w:val="24"/>
                <w:lang w:eastAsia="zh-CN"/>
              </w:rPr>
            </w:pPr>
            <w:r w:rsidRPr="00953077">
              <w:rPr>
                <w:rFonts w:ascii="Arial" w:hAnsi="Arial" w:cs="Arial"/>
                <w:color w:val="000000"/>
                <w:sz w:val="22"/>
                <w:szCs w:val="22"/>
              </w:rPr>
              <w:t>7</w:t>
            </w:r>
            <w:r w:rsidR="0058274C" w:rsidRPr="00953077">
              <w:rPr>
                <w:rFonts w:ascii="Arial" w:hAnsi="Arial" w:cs="Arial"/>
                <w:color w:val="000000"/>
                <w:sz w:val="22"/>
                <w:szCs w:val="22"/>
              </w:rPr>
              <w:t>,</w:t>
            </w:r>
            <w:r w:rsidRPr="00953077">
              <w:rPr>
                <w:rFonts w:ascii="Arial" w:hAnsi="Arial" w:cs="Arial"/>
                <w:color w:val="000000"/>
                <w:sz w:val="22"/>
                <w:szCs w:val="22"/>
              </w:rPr>
              <w:t>685</w:t>
            </w:r>
          </w:p>
        </w:tc>
        <w:tc>
          <w:tcPr>
            <w:tcW w:w="880" w:type="pct"/>
            <w:tcBorders>
              <w:top w:val="nil"/>
              <w:left w:val="nil"/>
              <w:bottom w:val="single" w:sz="4" w:space="0" w:color="auto"/>
              <w:right w:val="single" w:sz="4" w:space="0" w:color="auto"/>
            </w:tcBorders>
            <w:shd w:val="clear" w:color="auto" w:fill="auto"/>
            <w:vAlign w:val="bottom"/>
          </w:tcPr>
          <w:p w14:paraId="61F8F3AB" w14:textId="77777777" w:rsidR="007F45DA" w:rsidRPr="00953077" w:rsidRDefault="007F45DA" w:rsidP="004A503C">
            <w:pPr>
              <w:spacing w:line="276" w:lineRule="auto"/>
              <w:jc w:val="right"/>
              <w:rPr>
                <w:rFonts w:cstheme="minorHAnsi"/>
                <w:lang w:eastAsia="zh-CN"/>
              </w:rPr>
            </w:pPr>
            <w:r w:rsidRPr="00953077">
              <w:rPr>
                <w:rFonts w:ascii="Arial" w:hAnsi="Arial" w:cs="Arial"/>
                <w:color w:val="000000"/>
                <w:sz w:val="22"/>
                <w:szCs w:val="22"/>
              </w:rPr>
              <w:t>46.8%</w:t>
            </w:r>
          </w:p>
        </w:tc>
        <w:tc>
          <w:tcPr>
            <w:tcW w:w="901" w:type="pct"/>
            <w:tcBorders>
              <w:top w:val="nil"/>
              <w:left w:val="nil"/>
              <w:bottom w:val="single" w:sz="4" w:space="0" w:color="auto"/>
              <w:right w:val="single" w:sz="4" w:space="0" w:color="auto"/>
            </w:tcBorders>
            <w:shd w:val="clear" w:color="auto" w:fill="auto"/>
            <w:vAlign w:val="bottom"/>
          </w:tcPr>
          <w:p w14:paraId="26A8CBD4" w14:textId="77777777" w:rsidR="007F45DA" w:rsidRPr="00953077" w:rsidRDefault="007F45DA" w:rsidP="004A503C">
            <w:pPr>
              <w:spacing w:line="276" w:lineRule="auto"/>
              <w:jc w:val="right"/>
              <w:rPr>
                <w:rFonts w:cstheme="minorHAnsi"/>
                <w:lang w:eastAsia="zh-CN"/>
              </w:rPr>
            </w:pPr>
            <w:r w:rsidRPr="00953077">
              <w:rPr>
                <w:rFonts w:ascii="Arial" w:hAnsi="Arial" w:cs="Arial"/>
                <w:color w:val="000000"/>
                <w:sz w:val="22"/>
                <w:szCs w:val="22"/>
              </w:rPr>
              <w:t>8,220</w:t>
            </w:r>
          </w:p>
        </w:tc>
        <w:tc>
          <w:tcPr>
            <w:tcW w:w="788" w:type="pct"/>
            <w:tcBorders>
              <w:top w:val="nil"/>
              <w:left w:val="nil"/>
              <w:bottom w:val="single" w:sz="4" w:space="0" w:color="auto"/>
              <w:right w:val="single" w:sz="4" w:space="0" w:color="auto"/>
            </w:tcBorders>
            <w:shd w:val="clear" w:color="auto" w:fill="auto"/>
            <w:noWrap/>
            <w:vAlign w:val="bottom"/>
          </w:tcPr>
          <w:p w14:paraId="34A03C4A" w14:textId="77777777" w:rsidR="007F45DA" w:rsidRPr="00953077" w:rsidRDefault="007F45DA" w:rsidP="004A503C">
            <w:pPr>
              <w:spacing w:line="276" w:lineRule="auto"/>
              <w:jc w:val="right"/>
              <w:rPr>
                <w:rFonts w:cstheme="minorHAnsi"/>
                <w:lang w:eastAsia="zh-CN"/>
              </w:rPr>
            </w:pPr>
            <w:r w:rsidRPr="00953077">
              <w:rPr>
                <w:rFonts w:ascii="Arial" w:hAnsi="Arial" w:cs="Arial"/>
                <w:color w:val="000000"/>
                <w:sz w:val="22"/>
                <w:szCs w:val="22"/>
              </w:rPr>
              <w:t>47.0%</w:t>
            </w:r>
          </w:p>
        </w:tc>
      </w:tr>
      <w:tr w:rsidR="007F45DA" w:rsidRPr="00953077" w14:paraId="435D4238" w14:textId="77777777" w:rsidTr="004A503C">
        <w:trPr>
          <w:trHeight w:val="288"/>
        </w:trPr>
        <w:tc>
          <w:tcPr>
            <w:tcW w:w="1467" w:type="pct"/>
            <w:shd w:val="clear" w:color="auto" w:fill="auto"/>
            <w:noWrap/>
            <w:vAlign w:val="center"/>
            <w:hideMark/>
          </w:tcPr>
          <w:p w14:paraId="5F349DCE" w14:textId="77777777" w:rsidR="007F45DA" w:rsidRPr="00953077" w:rsidRDefault="007F45DA" w:rsidP="004A503C">
            <w:pPr>
              <w:spacing w:line="276" w:lineRule="auto"/>
              <w:jc w:val="both"/>
              <w:rPr>
                <w:rFonts w:cstheme="minorHAnsi"/>
                <w:lang w:eastAsia="zh-CN"/>
              </w:rPr>
            </w:pPr>
            <w:r w:rsidRPr="00953077">
              <w:rPr>
                <w:rFonts w:cstheme="minorHAnsi"/>
                <w:lang w:eastAsia="zh-CN"/>
              </w:rPr>
              <w:t>4+</w:t>
            </w:r>
          </w:p>
        </w:tc>
        <w:tc>
          <w:tcPr>
            <w:tcW w:w="964" w:type="pct"/>
            <w:tcBorders>
              <w:top w:val="nil"/>
              <w:left w:val="single" w:sz="4" w:space="0" w:color="auto"/>
              <w:bottom w:val="single" w:sz="4" w:space="0" w:color="auto"/>
              <w:right w:val="single" w:sz="4" w:space="0" w:color="auto"/>
            </w:tcBorders>
            <w:shd w:val="clear" w:color="auto" w:fill="auto"/>
            <w:noWrap/>
            <w:vAlign w:val="bottom"/>
          </w:tcPr>
          <w:p w14:paraId="0096CE0B" w14:textId="611D4A6F" w:rsidR="007F45DA" w:rsidRPr="00953077" w:rsidRDefault="007F45DA" w:rsidP="004A503C">
            <w:pPr>
              <w:spacing w:line="276" w:lineRule="auto"/>
              <w:jc w:val="right"/>
              <w:rPr>
                <w:rFonts w:cstheme="minorHAnsi"/>
                <w:szCs w:val="24"/>
                <w:lang w:eastAsia="zh-CN"/>
              </w:rPr>
            </w:pPr>
            <w:r w:rsidRPr="00953077">
              <w:rPr>
                <w:rFonts w:ascii="Arial" w:hAnsi="Arial" w:cs="Arial"/>
                <w:color w:val="000000"/>
                <w:sz w:val="22"/>
                <w:szCs w:val="22"/>
              </w:rPr>
              <w:t>2</w:t>
            </w:r>
            <w:r w:rsidR="0058274C" w:rsidRPr="00953077">
              <w:rPr>
                <w:rFonts w:ascii="Arial" w:hAnsi="Arial" w:cs="Arial"/>
                <w:color w:val="000000"/>
                <w:sz w:val="22"/>
                <w:szCs w:val="22"/>
              </w:rPr>
              <w:t>,</w:t>
            </w:r>
            <w:r w:rsidRPr="00953077">
              <w:rPr>
                <w:rFonts w:ascii="Arial" w:hAnsi="Arial" w:cs="Arial"/>
                <w:color w:val="000000"/>
                <w:sz w:val="22"/>
                <w:szCs w:val="22"/>
              </w:rPr>
              <w:t>566</w:t>
            </w:r>
          </w:p>
        </w:tc>
        <w:tc>
          <w:tcPr>
            <w:tcW w:w="880" w:type="pct"/>
            <w:tcBorders>
              <w:top w:val="nil"/>
              <w:left w:val="nil"/>
              <w:bottom w:val="single" w:sz="4" w:space="0" w:color="auto"/>
              <w:right w:val="single" w:sz="4" w:space="0" w:color="auto"/>
            </w:tcBorders>
            <w:shd w:val="clear" w:color="auto" w:fill="auto"/>
            <w:vAlign w:val="bottom"/>
          </w:tcPr>
          <w:p w14:paraId="346B3D2F" w14:textId="77777777" w:rsidR="007F45DA" w:rsidRPr="00953077" w:rsidRDefault="007F45DA" w:rsidP="004A503C">
            <w:pPr>
              <w:spacing w:line="276" w:lineRule="auto"/>
              <w:jc w:val="right"/>
              <w:rPr>
                <w:rFonts w:cstheme="minorHAnsi"/>
                <w:lang w:eastAsia="zh-CN"/>
              </w:rPr>
            </w:pPr>
            <w:r w:rsidRPr="00953077">
              <w:rPr>
                <w:rFonts w:ascii="Arial" w:hAnsi="Arial" w:cs="Arial"/>
                <w:color w:val="000000"/>
                <w:sz w:val="22"/>
                <w:szCs w:val="22"/>
              </w:rPr>
              <w:t>15.6%</w:t>
            </w:r>
          </w:p>
        </w:tc>
        <w:tc>
          <w:tcPr>
            <w:tcW w:w="901" w:type="pct"/>
            <w:tcBorders>
              <w:top w:val="nil"/>
              <w:left w:val="nil"/>
              <w:bottom w:val="single" w:sz="4" w:space="0" w:color="auto"/>
              <w:right w:val="single" w:sz="4" w:space="0" w:color="auto"/>
            </w:tcBorders>
            <w:shd w:val="clear" w:color="auto" w:fill="auto"/>
            <w:vAlign w:val="bottom"/>
          </w:tcPr>
          <w:p w14:paraId="11170EF7" w14:textId="77777777" w:rsidR="007F45DA" w:rsidRPr="00953077" w:rsidRDefault="007F45DA" w:rsidP="004A503C">
            <w:pPr>
              <w:spacing w:line="276" w:lineRule="auto"/>
              <w:jc w:val="right"/>
              <w:rPr>
                <w:rFonts w:cstheme="minorHAnsi"/>
                <w:lang w:eastAsia="zh-CN"/>
              </w:rPr>
            </w:pPr>
            <w:r w:rsidRPr="00953077">
              <w:rPr>
                <w:rFonts w:ascii="Arial" w:hAnsi="Arial" w:cs="Arial"/>
                <w:color w:val="000000"/>
                <w:sz w:val="22"/>
                <w:szCs w:val="22"/>
              </w:rPr>
              <w:t>2,882</w:t>
            </w:r>
          </w:p>
        </w:tc>
        <w:tc>
          <w:tcPr>
            <w:tcW w:w="788" w:type="pct"/>
            <w:tcBorders>
              <w:top w:val="nil"/>
              <w:left w:val="nil"/>
              <w:bottom w:val="single" w:sz="4" w:space="0" w:color="auto"/>
              <w:right w:val="single" w:sz="4" w:space="0" w:color="auto"/>
            </w:tcBorders>
            <w:shd w:val="clear" w:color="auto" w:fill="auto"/>
            <w:noWrap/>
            <w:vAlign w:val="bottom"/>
          </w:tcPr>
          <w:p w14:paraId="3CA5E55F" w14:textId="77777777" w:rsidR="007F45DA" w:rsidRPr="00953077" w:rsidRDefault="007F45DA" w:rsidP="004A503C">
            <w:pPr>
              <w:spacing w:line="276" w:lineRule="auto"/>
              <w:jc w:val="right"/>
              <w:rPr>
                <w:rFonts w:cstheme="minorHAnsi"/>
                <w:lang w:eastAsia="zh-CN"/>
              </w:rPr>
            </w:pPr>
            <w:r w:rsidRPr="00953077">
              <w:rPr>
                <w:rFonts w:ascii="Arial" w:hAnsi="Arial" w:cs="Arial"/>
                <w:color w:val="000000"/>
                <w:sz w:val="22"/>
                <w:szCs w:val="22"/>
              </w:rPr>
              <w:t>16.5%</w:t>
            </w:r>
          </w:p>
        </w:tc>
      </w:tr>
      <w:tr w:rsidR="007F45DA" w:rsidRPr="00953077" w14:paraId="0C1C271D" w14:textId="77777777" w:rsidTr="004A503C">
        <w:trPr>
          <w:trHeight w:val="288"/>
        </w:trPr>
        <w:tc>
          <w:tcPr>
            <w:tcW w:w="1467" w:type="pct"/>
            <w:shd w:val="clear" w:color="auto" w:fill="auto"/>
            <w:noWrap/>
            <w:vAlign w:val="center"/>
          </w:tcPr>
          <w:p w14:paraId="6BC23243" w14:textId="77777777" w:rsidR="007F45DA" w:rsidRPr="00953077" w:rsidRDefault="007F45DA" w:rsidP="004A503C">
            <w:pPr>
              <w:spacing w:line="276" w:lineRule="auto"/>
              <w:jc w:val="both"/>
              <w:rPr>
                <w:rFonts w:cstheme="minorHAnsi"/>
                <w:lang w:eastAsia="zh-CN"/>
              </w:rPr>
            </w:pPr>
            <w:r w:rsidRPr="00953077">
              <w:rPr>
                <w:rFonts w:cstheme="minorHAnsi"/>
                <w:lang w:eastAsia="zh-CN"/>
              </w:rPr>
              <w:t>Total</w:t>
            </w:r>
          </w:p>
        </w:tc>
        <w:tc>
          <w:tcPr>
            <w:tcW w:w="964" w:type="pct"/>
            <w:tcBorders>
              <w:top w:val="nil"/>
              <w:left w:val="single" w:sz="4" w:space="0" w:color="auto"/>
              <w:bottom w:val="single" w:sz="4" w:space="0" w:color="auto"/>
              <w:right w:val="single" w:sz="4" w:space="0" w:color="auto"/>
            </w:tcBorders>
            <w:shd w:val="clear" w:color="auto" w:fill="auto"/>
            <w:noWrap/>
            <w:vAlign w:val="bottom"/>
          </w:tcPr>
          <w:p w14:paraId="140F1EF7" w14:textId="77777777" w:rsidR="007F45DA" w:rsidRPr="00953077" w:rsidRDefault="007F45DA" w:rsidP="004A503C">
            <w:pPr>
              <w:spacing w:line="276" w:lineRule="auto"/>
              <w:jc w:val="right"/>
              <w:rPr>
                <w:rFonts w:cstheme="minorHAnsi"/>
                <w:lang w:eastAsia="zh-CN"/>
              </w:rPr>
            </w:pPr>
            <w:r w:rsidRPr="00953077">
              <w:rPr>
                <w:rFonts w:ascii="Arial" w:hAnsi="Arial" w:cs="Arial"/>
                <w:color w:val="000000"/>
                <w:sz w:val="22"/>
                <w:szCs w:val="22"/>
              </w:rPr>
              <w:t>16,413</w:t>
            </w:r>
          </w:p>
        </w:tc>
        <w:tc>
          <w:tcPr>
            <w:tcW w:w="880" w:type="pct"/>
            <w:tcBorders>
              <w:top w:val="nil"/>
              <w:left w:val="nil"/>
              <w:bottom w:val="single" w:sz="4" w:space="0" w:color="auto"/>
              <w:right w:val="single" w:sz="4" w:space="0" w:color="auto"/>
            </w:tcBorders>
            <w:shd w:val="clear" w:color="auto" w:fill="auto"/>
            <w:vAlign w:val="bottom"/>
          </w:tcPr>
          <w:p w14:paraId="2323AF7E" w14:textId="77777777" w:rsidR="007F45DA" w:rsidRPr="00953077" w:rsidRDefault="007F45DA" w:rsidP="004A503C">
            <w:pPr>
              <w:spacing w:line="276" w:lineRule="auto"/>
              <w:jc w:val="right"/>
              <w:rPr>
                <w:rFonts w:cstheme="minorHAnsi"/>
                <w:lang w:eastAsia="zh-CN"/>
              </w:rPr>
            </w:pPr>
            <w:r w:rsidRPr="00953077">
              <w:rPr>
                <w:rFonts w:ascii="Arial" w:hAnsi="Arial" w:cs="Arial"/>
                <w:color w:val="000000"/>
                <w:sz w:val="22"/>
                <w:szCs w:val="22"/>
              </w:rPr>
              <w:t> </w:t>
            </w:r>
          </w:p>
        </w:tc>
        <w:tc>
          <w:tcPr>
            <w:tcW w:w="901" w:type="pct"/>
            <w:tcBorders>
              <w:top w:val="nil"/>
              <w:left w:val="nil"/>
              <w:bottom w:val="single" w:sz="4" w:space="0" w:color="auto"/>
              <w:right w:val="single" w:sz="4" w:space="0" w:color="auto"/>
            </w:tcBorders>
            <w:shd w:val="clear" w:color="auto" w:fill="auto"/>
            <w:vAlign w:val="bottom"/>
          </w:tcPr>
          <w:p w14:paraId="2B102C5F" w14:textId="77777777" w:rsidR="007F45DA" w:rsidRPr="00953077" w:rsidRDefault="007F45DA" w:rsidP="004A503C">
            <w:pPr>
              <w:spacing w:line="276" w:lineRule="auto"/>
              <w:jc w:val="right"/>
              <w:rPr>
                <w:rFonts w:cstheme="minorHAnsi"/>
                <w:lang w:eastAsia="zh-CN"/>
              </w:rPr>
            </w:pPr>
            <w:r w:rsidRPr="00953077">
              <w:rPr>
                <w:rFonts w:ascii="Arial" w:hAnsi="Arial" w:cs="Arial"/>
                <w:color w:val="000000"/>
                <w:sz w:val="22"/>
                <w:szCs w:val="22"/>
              </w:rPr>
              <w:t>17,481</w:t>
            </w:r>
          </w:p>
        </w:tc>
        <w:tc>
          <w:tcPr>
            <w:tcW w:w="788" w:type="pct"/>
            <w:tcBorders>
              <w:top w:val="nil"/>
              <w:left w:val="nil"/>
              <w:bottom w:val="single" w:sz="4" w:space="0" w:color="auto"/>
              <w:right w:val="single" w:sz="4" w:space="0" w:color="auto"/>
            </w:tcBorders>
            <w:shd w:val="clear" w:color="auto" w:fill="auto"/>
            <w:noWrap/>
            <w:vAlign w:val="bottom"/>
          </w:tcPr>
          <w:p w14:paraId="268309D0" w14:textId="77777777" w:rsidR="007F45DA" w:rsidRPr="00953077" w:rsidRDefault="007F45DA" w:rsidP="004A503C">
            <w:pPr>
              <w:spacing w:line="276" w:lineRule="auto"/>
              <w:jc w:val="right"/>
              <w:rPr>
                <w:rFonts w:cstheme="minorHAnsi"/>
                <w:lang w:eastAsia="zh-CN"/>
              </w:rPr>
            </w:pPr>
            <w:r w:rsidRPr="00953077">
              <w:rPr>
                <w:rFonts w:ascii="Arial" w:hAnsi="Arial" w:cs="Arial"/>
                <w:color w:val="000000"/>
                <w:sz w:val="22"/>
                <w:szCs w:val="22"/>
              </w:rPr>
              <w:t> </w:t>
            </w:r>
          </w:p>
        </w:tc>
      </w:tr>
    </w:tbl>
    <w:p w14:paraId="2F154001" w14:textId="77777777" w:rsidR="007F45DA" w:rsidRPr="00953077" w:rsidRDefault="007F45DA" w:rsidP="007F45DA">
      <w:pPr>
        <w:pStyle w:val="Source"/>
        <w:jc w:val="both"/>
      </w:pPr>
      <w:r w:rsidRPr="00953077">
        <w:t>Source: ONS 2021 and 2011, AECOM Calculations</w:t>
      </w:r>
    </w:p>
    <w:p w14:paraId="53E3F08D" w14:textId="6441B23A" w:rsidR="007F45DA" w:rsidRPr="00953077" w:rsidRDefault="00EA640E" w:rsidP="007F45DA">
      <w:pPr>
        <w:pStyle w:val="Numberedtext"/>
        <w:numPr>
          <w:ilvl w:val="2"/>
          <w:numId w:val="40"/>
        </w:numPr>
        <w:ind w:left="851" w:hanging="851"/>
        <w:jc w:val="both"/>
      </w:pPr>
      <w:r w:rsidRPr="00953077">
        <w:t>Again, it is useful to look at the percentage breakdown of dwelling sizes in comparison with County Durham. Table 5-4</w:t>
      </w:r>
      <w:r w:rsidR="00DF1175" w:rsidRPr="00953077">
        <w:t xml:space="preserve"> </w:t>
      </w:r>
      <w:r w:rsidR="00640547" w:rsidRPr="00953077">
        <w:t xml:space="preserve">shows </w:t>
      </w:r>
      <w:r w:rsidR="007026A0" w:rsidRPr="00953077">
        <w:t xml:space="preserve">that Consett has a similar size mix to County Durham, where </w:t>
      </w:r>
      <w:proofErr w:type="gramStart"/>
      <w:r w:rsidR="007026A0" w:rsidRPr="00953077">
        <w:t>the majority of</w:t>
      </w:r>
      <w:proofErr w:type="gramEnd"/>
      <w:r w:rsidR="007026A0" w:rsidRPr="00953077">
        <w:t xml:space="preserve"> homes have either 2 or 3 bedrooms</w:t>
      </w:r>
      <w:r w:rsidR="009A227E" w:rsidRPr="00953077">
        <w:t xml:space="preserve">. </w:t>
      </w:r>
      <w:r w:rsidR="000C15CB" w:rsidRPr="00953077">
        <w:t xml:space="preserve">The NA does, however, have a slightly higher proportion of </w:t>
      </w:r>
      <w:r w:rsidR="007B0860" w:rsidRPr="00953077">
        <w:t>3-bedroom</w:t>
      </w:r>
      <w:r w:rsidR="000C15CB" w:rsidRPr="00953077">
        <w:t xml:space="preserve"> homes than is common in County Durham. </w:t>
      </w:r>
      <w:r w:rsidR="009A227E" w:rsidRPr="00953077">
        <w:t>Both Consett and the wider county have a corresponding</w:t>
      </w:r>
      <w:r w:rsidR="007B0860">
        <w:t>ly</w:t>
      </w:r>
      <w:r w:rsidR="009A227E" w:rsidRPr="00953077">
        <w:t xml:space="preserve"> small proportion of </w:t>
      </w:r>
      <w:r w:rsidR="00953077" w:rsidRPr="00953077">
        <w:t xml:space="preserve">1-bed homes, albeit with a higher proportion in County Durham. </w:t>
      </w:r>
    </w:p>
    <w:p w14:paraId="5B483F31" w14:textId="78F2C88C" w:rsidR="003B3C47" w:rsidRPr="00953077" w:rsidRDefault="003B3C47" w:rsidP="00252C91">
      <w:pPr>
        <w:pStyle w:val="Caption"/>
        <w:jc w:val="both"/>
        <w:rPr>
          <w:color w:val="auto"/>
        </w:rPr>
      </w:pPr>
      <w:bookmarkStart w:id="127" w:name="_Ref2598573"/>
      <w:bookmarkStart w:id="128" w:name="_Hlk61354090"/>
      <w:r w:rsidRPr="00953077">
        <w:rPr>
          <w:color w:val="auto"/>
        </w:rPr>
        <w:t xml:space="preserve">Table </w:t>
      </w:r>
      <w:r w:rsidR="00953077" w:rsidRPr="00953077">
        <w:rPr>
          <w:color w:val="auto"/>
        </w:rPr>
        <w:t>5-4</w:t>
      </w:r>
      <w:r w:rsidRPr="00953077">
        <w:rPr>
          <w:color w:val="auto"/>
        </w:rPr>
        <w:t xml:space="preserve">: Dwelling size (bedrooms), </w:t>
      </w:r>
      <w:r w:rsidR="00D143F2" w:rsidRPr="00953077">
        <w:rPr>
          <w:color w:val="auto"/>
        </w:rPr>
        <w:t>Consett</w:t>
      </w:r>
      <w:r w:rsidR="00021F51" w:rsidRPr="00953077">
        <w:rPr>
          <w:color w:val="auto"/>
        </w:rPr>
        <w:t xml:space="preserve"> and comparator</w:t>
      </w:r>
      <w:r w:rsidRPr="00953077">
        <w:rPr>
          <w:color w:val="auto"/>
        </w:rPr>
        <w:t xml:space="preserve"> geographies, 2021</w:t>
      </w:r>
    </w:p>
    <w:tbl>
      <w:tblPr>
        <w:tblW w:w="49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3"/>
        <w:gridCol w:w="2339"/>
        <w:gridCol w:w="2339"/>
        <w:gridCol w:w="2337"/>
      </w:tblGrid>
      <w:tr w:rsidR="003B3C47" w:rsidRPr="00374C95" w14:paraId="28CFED78" w14:textId="77777777" w:rsidTr="003D47D2">
        <w:trPr>
          <w:trHeight w:val="288"/>
        </w:trPr>
        <w:tc>
          <w:tcPr>
            <w:tcW w:w="1427" w:type="pct"/>
            <w:shd w:val="clear" w:color="auto" w:fill="000000" w:themeFill="text2"/>
            <w:noWrap/>
            <w:vAlign w:val="center"/>
            <w:hideMark/>
          </w:tcPr>
          <w:p w14:paraId="7DAD2A97" w14:textId="77777777" w:rsidR="003B3C47" w:rsidRPr="00953077" w:rsidRDefault="003B3C47" w:rsidP="00252C91">
            <w:pPr>
              <w:spacing w:line="276" w:lineRule="auto"/>
              <w:jc w:val="both"/>
              <w:rPr>
                <w:rFonts w:cstheme="minorHAnsi"/>
                <w:b/>
                <w:color w:val="FFFFFF" w:themeColor="background1"/>
                <w:lang w:eastAsia="zh-CN"/>
              </w:rPr>
            </w:pPr>
            <w:r w:rsidRPr="00953077">
              <w:rPr>
                <w:rFonts w:cstheme="minorHAnsi"/>
                <w:b/>
                <w:bCs/>
                <w:color w:val="FFFFFF" w:themeColor="background1"/>
                <w:lang w:eastAsia="zh-CN"/>
              </w:rPr>
              <w:t>Number of bedrooms</w:t>
            </w:r>
          </w:p>
        </w:tc>
        <w:tc>
          <w:tcPr>
            <w:tcW w:w="1191" w:type="pct"/>
            <w:shd w:val="clear" w:color="auto" w:fill="000000" w:themeFill="text2"/>
            <w:noWrap/>
            <w:vAlign w:val="center"/>
          </w:tcPr>
          <w:p w14:paraId="7747E35B" w14:textId="08FBC292" w:rsidR="003B3C47" w:rsidRPr="00953077" w:rsidRDefault="002E6860" w:rsidP="007F45DA">
            <w:pPr>
              <w:spacing w:line="276" w:lineRule="auto"/>
              <w:jc w:val="right"/>
              <w:rPr>
                <w:rFonts w:cstheme="minorHAnsi"/>
                <w:b/>
                <w:bCs/>
                <w:color w:val="FFFFFF" w:themeColor="background1"/>
                <w:szCs w:val="24"/>
                <w:lang w:eastAsia="zh-CN"/>
              </w:rPr>
            </w:pPr>
            <w:r w:rsidRPr="00953077">
              <w:rPr>
                <w:rFonts w:cstheme="minorHAnsi"/>
                <w:b/>
                <w:bCs/>
                <w:color w:val="FFFFFF" w:themeColor="background1"/>
                <w:szCs w:val="24"/>
                <w:lang w:eastAsia="zh-CN"/>
              </w:rPr>
              <w:t>Consett</w:t>
            </w:r>
          </w:p>
        </w:tc>
        <w:tc>
          <w:tcPr>
            <w:tcW w:w="1191" w:type="pct"/>
            <w:shd w:val="clear" w:color="auto" w:fill="000000" w:themeFill="text2"/>
            <w:noWrap/>
            <w:vAlign w:val="center"/>
          </w:tcPr>
          <w:p w14:paraId="1BEA07AE" w14:textId="67FCE985" w:rsidR="003B3C47" w:rsidRPr="00953077" w:rsidRDefault="007F45DA" w:rsidP="007F45DA">
            <w:pPr>
              <w:spacing w:line="276" w:lineRule="auto"/>
              <w:jc w:val="right"/>
              <w:rPr>
                <w:rFonts w:cstheme="minorHAnsi"/>
                <w:b/>
                <w:bCs/>
                <w:color w:val="FFFFFF" w:themeColor="background1"/>
                <w:szCs w:val="24"/>
                <w:lang w:eastAsia="zh-CN"/>
              </w:rPr>
            </w:pPr>
            <w:r w:rsidRPr="00953077">
              <w:rPr>
                <w:rFonts w:cstheme="minorHAnsi"/>
                <w:b/>
                <w:bCs/>
                <w:color w:val="FFFFFF" w:themeColor="background1"/>
                <w:szCs w:val="24"/>
                <w:lang w:eastAsia="zh-CN"/>
              </w:rPr>
              <w:t xml:space="preserve">County </w:t>
            </w:r>
            <w:r w:rsidR="002E6860" w:rsidRPr="00953077">
              <w:rPr>
                <w:rFonts w:cstheme="minorHAnsi"/>
                <w:b/>
                <w:bCs/>
                <w:color w:val="FFFFFF" w:themeColor="background1"/>
                <w:szCs w:val="24"/>
                <w:lang w:eastAsia="zh-CN"/>
              </w:rPr>
              <w:t>Durham</w:t>
            </w:r>
          </w:p>
        </w:tc>
        <w:tc>
          <w:tcPr>
            <w:tcW w:w="1190" w:type="pct"/>
            <w:shd w:val="clear" w:color="auto" w:fill="000000" w:themeFill="text2"/>
            <w:vAlign w:val="center"/>
          </w:tcPr>
          <w:p w14:paraId="7C356E28" w14:textId="77777777" w:rsidR="003B3C47" w:rsidRPr="0011239A" w:rsidRDefault="003B3C47" w:rsidP="007F45DA">
            <w:pPr>
              <w:spacing w:line="276" w:lineRule="auto"/>
              <w:jc w:val="right"/>
              <w:rPr>
                <w:rFonts w:cstheme="minorHAnsi"/>
                <w:b/>
                <w:bCs/>
                <w:color w:val="FFFFFF" w:themeColor="background1"/>
                <w:szCs w:val="24"/>
                <w:lang w:eastAsia="zh-CN"/>
              </w:rPr>
            </w:pPr>
            <w:r w:rsidRPr="00953077">
              <w:rPr>
                <w:b/>
                <w:bCs/>
                <w:color w:val="FFFFFF" w:themeColor="background1"/>
                <w:szCs w:val="24"/>
              </w:rPr>
              <w:t>England</w:t>
            </w:r>
          </w:p>
        </w:tc>
      </w:tr>
      <w:tr w:rsidR="00A41B82" w:rsidRPr="00374C95" w14:paraId="0FE5EBDE" w14:textId="77777777" w:rsidTr="003D47D2">
        <w:trPr>
          <w:trHeight w:val="288"/>
        </w:trPr>
        <w:tc>
          <w:tcPr>
            <w:tcW w:w="1427" w:type="pct"/>
            <w:shd w:val="clear" w:color="auto" w:fill="auto"/>
            <w:noWrap/>
            <w:vAlign w:val="center"/>
            <w:hideMark/>
          </w:tcPr>
          <w:p w14:paraId="4BD5CEAA" w14:textId="77777777" w:rsidR="00A41B82" w:rsidRPr="00374C95" w:rsidRDefault="00A41B82" w:rsidP="00A41B82">
            <w:pPr>
              <w:spacing w:line="276" w:lineRule="auto"/>
              <w:jc w:val="both"/>
              <w:rPr>
                <w:rFonts w:cstheme="minorHAnsi"/>
                <w:lang w:eastAsia="zh-CN"/>
              </w:rPr>
            </w:pPr>
            <w:r w:rsidRPr="00374C95">
              <w:rPr>
                <w:rFonts w:cstheme="minorHAnsi"/>
                <w:lang w:eastAsia="zh-CN"/>
              </w:rPr>
              <w:t xml:space="preserve">1 </w:t>
            </w:r>
          </w:p>
        </w:tc>
        <w:tc>
          <w:tcPr>
            <w:tcW w:w="1191"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646620D4" w14:textId="6331AE75" w:rsidR="00A41B82" w:rsidRPr="001B5D5E" w:rsidRDefault="00A41B82" w:rsidP="00A41B82">
            <w:pPr>
              <w:spacing w:line="276" w:lineRule="auto"/>
              <w:jc w:val="right"/>
              <w:rPr>
                <w:rFonts w:cstheme="minorHAnsi"/>
                <w:szCs w:val="24"/>
                <w:lang w:eastAsia="zh-CN"/>
              </w:rPr>
            </w:pPr>
            <w:r>
              <w:rPr>
                <w:rFonts w:ascii="Arial" w:hAnsi="Arial" w:cs="Arial"/>
                <w:sz w:val="22"/>
                <w:szCs w:val="22"/>
              </w:rPr>
              <w:t>3.7%</w:t>
            </w:r>
          </w:p>
        </w:tc>
        <w:tc>
          <w:tcPr>
            <w:tcW w:w="1191" w:type="pct"/>
            <w:tcBorders>
              <w:top w:val="single" w:sz="4" w:space="0" w:color="auto"/>
              <w:left w:val="nil"/>
              <w:bottom w:val="single" w:sz="4" w:space="0" w:color="auto"/>
              <w:right w:val="single" w:sz="4" w:space="0" w:color="auto"/>
            </w:tcBorders>
            <w:shd w:val="clear" w:color="000000" w:fill="FFFFFF"/>
            <w:noWrap/>
            <w:vAlign w:val="bottom"/>
          </w:tcPr>
          <w:p w14:paraId="3D065363" w14:textId="5C9C91CF" w:rsidR="00A41B82" w:rsidRPr="001B5D5E" w:rsidRDefault="00A41B82" w:rsidP="00A41B82">
            <w:pPr>
              <w:spacing w:line="276" w:lineRule="auto"/>
              <w:jc w:val="right"/>
              <w:rPr>
                <w:rFonts w:cstheme="minorHAnsi"/>
                <w:szCs w:val="24"/>
                <w:lang w:eastAsia="zh-CN"/>
              </w:rPr>
            </w:pPr>
            <w:r>
              <w:rPr>
                <w:rFonts w:ascii="Arial" w:hAnsi="Arial" w:cs="Arial"/>
                <w:sz w:val="22"/>
                <w:szCs w:val="22"/>
              </w:rPr>
              <w:t>5.9%</w:t>
            </w:r>
          </w:p>
        </w:tc>
        <w:tc>
          <w:tcPr>
            <w:tcW w:w="1190" w:type="pct"/>
            <w:tcBorders>
              <w:top w:val="single" w:sz="4" w:space="0" w:color="auto"/>
              <w:left w:val="nil"/>
              <w:bottom w:val="single" w:sz="4" w:space="0" w:color="auto"/>
              <w:right w:val="single" w:sz="4" w:space="0" w:color="auto"/>
            </w:tcBorders>
            <w:shd w:val="clear" w:color="000000" w:fill="FFFFFF"/>
            <w:vAlign w:val="bottom"/>
          </w:tcPr>
          <w:p w14:paraId="36B9C5CC" w14:textId="798373C5" w:rsidR="00A41B82" w:rsidRPr="0011239A" w:rsidRDefault="00A41B82" w:rsidP="00A41B82">
            <w:pPr>
              <w:spacing w:line="276" w:lineRule="auto"/>
              <w:jc w:val="right"/>
              <w:rPr>
                <w:rFonts w:cstheme="minorHAnsi"/>
                <w:szCs w:val="24"/>
                <w:lang w:eastAsia="zh-CN"/>
              </w:rPr>
            </w:pPr>
            <w:r>
              <w:rPr>
                <w:rFonts w:ascii="Arial" w:hAnsi="Arial" w:cs="Arial"/>
                <w:sz w:val="22"/>
                <w:szCs w:val="22"/>
              </w:rPr>
              <w:t>11.6%</w:t>
            </w:r>
          </w:p>
        </w:tc>
      </w:tr>
      <w:tr w:rsidR="00A41B82" w:rsidRPr="00374C95" w14:paraId="2392779A" w14:textId="77777777" w:rsidTr="003D47D2">
        <w:trPr>
          <w:trHeight w:val="288"/>
        </w:trPr>
        <w:tc>
          <w:tcPr>
            <w:tcW w:w="1427" w:type="pct"/>
            <w:shd w:val="clear" w:color="auto" w:fill="auto"/>
            <w:noWrap/>
            <w:vAlign w:val="center"/>
            <w:hideMark/>
          </w:tcPr>
          <w:p w14:paraId="02966571" w14:textId="77777777" w:rsidR="00A41B82" w:rsidRPr="00374C95" w:rsidRDefault="00A41B82" w:rsidP="00A41B82">
            <w:pPr>
              <w:spacing w:line="276" w:lineRule="auto"/>
              <w:jc w:val="both"/>
              <w:rPr>
                <w:rFonts w:cstheme="minorHAnsi"/>
                <w:lang w:eastAsia="zh-CN"/>
              </w:rPr>
            </w:pPr>
            <w:r w:rsidRPr="00374C95">
              <w:rPr>
                <w:rFonts w:cstheme="minorHAnsi"/>
                <w:lang w:eastAsia="zh-CN"/>
              </w:rPr>
              <w:t>2</w:t>
            </w:r>
          </w:p>
        </w:tc>
        <w:tc>
          <w:tcPr>
            <w:tcW w:w="1191" w:type="pct"/>
            <w:tcBorders>
              <w:top w:val="nil"/>
              <w:left w:val="single" w:sz="4" w:space="0" w:color="auto"/>
              <w:bottom w:val="single" w:sz="4" w:space="0" w:color="auto"/>
              <w:right w:val="single" w:sz="4" w:space="0" w:color="auto"/>
            </w:tcBorders>
            <w:shd w:val="clear" w:color="auto" w:fill="auto"/>
            <w:noWrap/>
            <w:vAlign w:val="bottom"/>
          </w:tcPr>
          <w:p w14:paraId="5EBE3F98" w14:textId="06C81DBC" w:rsidR="00A41B82" w:rsidRPr="001B5D5E" w:rsidRDefault="00A41B82" w:rsidP="00A41B82">
            <w:pPr>
              <w:spacing w:line="276" w:lineRule="auto"/>
              <w:jc w:val="right"/>
              <w:rPr>
                <w:rFonts w:cstheme="minorHAnsi"/>
                <w:szCs w:val="24"/>
                <w:lang w:eastAsia="zh-CN"/>
              </w:rPr>
            </w:pPr>
            <w:r>
              <w:rPr>
                <w:rFonts w:ascii="Arial" w:hAnsi="Arial" w:cs="Arial"/>
                <w:color w:val="000000"/>
                <w:sz w:val="22"/>
                <w:szCs w:val="22"/>
              </w:rPr>
              <w:t>32.8%</w:t>
            </w:r>
          </w:p>
        </w:tc>
        <w:tc>
          <w:tcPr>
            <w:tcW w:w="1191" w:type="pct"/>
            <w:tcBorders>
              <w:top w:val="nil"/>
              <w:left w:val="nil"/>
              <w:bottom w:val="single" w:sz="4" w:space="0" w:color="auto"/>
              <w:right w:val="single" w:sz="4" w:space="0" w:color="auto"/>
            </w:tcBorders>
            <w:shd w:val="clear" w:color="000000" w:fill="FFFFFF"/>
            <w:noWrap/>
            <w:vAlign w:val="bottom"/>
          </w:tcPr>
          <w:p w14:paraId="439A961E" w14:textId="3FF84AD5" w:rsidR="00A41B82" w:rsidRPr="001B5D5E" w:rsidRDefault="00A41B82" w:rsidP="00A41B82">
            <w:pPr>
              <w:spacing w:line="276" w:lineRule="auto"/>
              <w:jc w:val="right"/>
              <w:rPr>
                <w:rFonts w:cstheme="minorHAnsi"/>
                <w:szCs w:val="24"/>
                <w:lang w:eastAsia="zh-CN"/>
              </w:rPr>
            </w:pPr>
            <w:r>
              <w:rPr>
                <w:rFonts w:ascii="Arial" w:hAnsi="Arial" w:cs="Arial"/>
                <w:sz w:val="22"/>
                <w:szCs w:val="22"/>
              </w:rPr>
              <w:t>32.5%</w:t>
            </w:r>
          </w:p>
        </w:tc>
        <w:tc>
          <w:tcPr>
            <w:tcW w:w="1190" w:type="pct"/>
            <w:tcBorders>
              <w:top w:val="nil"/>
              <w:left w:val="nil"/>
              <w:bottom w:val="single" w:sz="4" w:space="0" w:color="auto"/>
              <w:right w:val="single" w:sz="4" w:space="0" w:color="auto"/>
            </w:tcBorders>
            <w:shd w:val="clear" w:color="000000" w:fill="FFFFFF"/>
            <w:vAlign w:val="bottom"/>
          </w:tcPr>
          <w:p w14:paraId="1C7DDCF6" w14:textId="5CBDD170" w:rsidR="00A41B82" w:rsidRPr="0011239A" w:rsidRDefault="00A41B82" w:rsidP="00A41B82">
            <w:pPr>
              <w:spacing w:line="276" w:lineRule="auto"/>
              <w:jc w:val="right"/>
              <w:rPr>
                <w:rFonts w:cstheme="minorHAnsi"/>
                <w:szCs w:val="24"/>
                <w:lang w:eastAsia="zh-CN"/>
              </w:rPr>
            </w:pPr>
            <w:r>
              <w:rPr>
                <w:rFonts w:ascii="Arial" w:hAnsi="Arial" w:cs="Arial"/>
                <w:color w:val="000000"/>
                <w:sz w:val="22"/>
                <w:szCs w:val="22"/>
              </w:rPr>
              <w:t>27.3%</w:t>
            </w:r>
          </w:p>
        </w:tc>
      </w:tr>
      <w:tr w:rsidR="00A41B82" w:rsidRPr="00374C95" w14:paraId="4681DD86" w14:textId="77777777" w:rsidTr="003D47D2">
        <w:trPr>
          <w:trHeight w:val="288"/>
        </w:trPr>
        <w:tc>
          <w:tcPr>
            <w:tcW w:w="1427" w:type="pct"/>
            <w:shd w:val="clear" w:color="auto" w:fill="auto"/>
            <w:noWrap/>
            <w:vAlign w:val="center"/>
            <w:hideMark/>
          </w:tcPr>
          <w:p w14:paraId="45030532" w14:textId="77777777" w:rsidR="00A41B82" w:rsidRPr="00374C95" w:rsidRDefault="00A41B82" w:rsidP="00A41B82">
            <w:pPr>
              <w:spacing w:line="276" w:lineRule="auto"/>
              <w:jc w:val="both"/>
              <w:rPr>
                <w:rFonts w:cstheme="minorHAnsi"/>
                <w:lang w:eastAsia="zh-CN"/>
              </w:rPr>
            </w:pPr>
            <w:r w:rsidRPr="00374C95">
              <w:rPr>
                <w:rFonts w:cstheme="minorHAnsi"/>
                <w:lang w:eastAsia="zh-CN"/>
              </w:rPr>
              <w:t xml:space="preserve">3 </w:t>
            </w:r>
          </w:p>
        </w:tc>
        <w:tc>
          <w:tcPr>
            <w:tcW w:w="1191" w:type="pct"/>
            <w:tcBorders>
              <w:top w:val="nil"/>
              <w:left w:val="single" w:sz="4" w:space="0" w:color="auto"/>
              <w:bottom w:val="single" w:sz="4" w:space="0" w:color="auto"/>
              <w:right w:val="single" w:sz="4" w:space="0" w:color="auto"/>
            </w:tcBorders>
            <w:shd w:val="clear" w:color="auto" w:fill="auto"/>
            <w:noWrap/>
            <w:vAlign w:val="bottom"/>
          </w:tcPr>
          <w:p w14:paraId="1FEB1620" w14:textId="41E775F1" w:rsidR="00A41B82" w:rsidRPr="001B5D5E" w:rsidRDefault="00A41B82" w:rsidP="00A41B82">
            <w:pPr>
              <w:spacing w:line="276" w:lineRule="auto"/>
              <w:jc w:val="right"/>
              <w:rPr>
                <w:rFonts w:cstheme="minorHAnsi"/>
                <w:szCs w:val="24"/>
                <w:lang w:eastAsia="zh-CN"/>
              </w:rPr>
            </w:pPr>
            <w:r>
              <w:rPr>
                <w:rFonts w:ascii="Arial" w:hAnsi="Arial" w:cs="Arial"/>
                <w:color w:val="000000"/>
                <w:sz w:val="22"/>
                <w:szCs w:val="22"/>
              </w:rPr>
              <w:t>47.0%</w:t>
            </w:r>
          </w:p>
        </w:tc>
        <w:tc>
          <w:tcPr>
            <w:tcW w:w="1191" w:type="pct"/>
            <w:tcBorders>
              <w:top w:val="nil"/>
              <w:left w:val="nil"/>
              <w:bottom w:val="single" w:sz="4" w:space="0" w:color="auto"/>
              <w:right w:val="single" w:sz="4" w:space="0" w:color="auto"/>
            </w:tcBorders>
            <w:shd w:val="clear" w:color="000000" w:fill="FFFFFF"/>
            <w:noWrap/>
            <w:vAlign w:val="bottom"/>
          </w:tcPr>
          <w:p w14:paraId="18BC7DA1" w14:textId="2D5A929A" w:rsidR="00A41B82" w:rsidRPr="001B5D5E" w:rsidRDefault="00A41B82" w:rsidP="00A41B82">
            <w:pPr>
              <w:spacing w:line="276" w:lineRule="auto"/>
              <w:jc w:val="right"/>
              <w:rPr>
                <w:rFonts w:cstheme="minorHAnsi"/>
                <w:szCs w:val="24"/>
                <w:lang w:eastAsia="zh-CN"/>
              </w:rPr>
            </w:pPr>
            <w:r>
              <w:rPr>
                <w:rFonts w:ascii="Arial" w:hAnsi="Arial" w:cs="Arial"/>
                <w:sz w:val="22"/>
                <w:szCs w:val="22"/>
              </w:rPr>
              <w:t>44.9%</w:t>
            </w:r>
          </w:p>
        </w:tc>
        <w:tc>
          <w:tcPr>
            <w:tcW w:w="1190" w:type="pct"/>
            <w:tcBorders>
              <w:top w:val="nil"/>
              <w:left w:val="nil"/>
              <w:bottom w:val="single" w:sz="4" w:space="0" w:color="auto"/>
              <w:right w:val="single" w:sz="4" w:space="0" w:color="auto"/>
            </w:tcBorders>
            <w:shd w:val="clear" w:color="000000" w:fill="FFFFFF"/>
            <w:vAlign w:val="bottom"/>
          </w:tcPr>
          <w:p w14:paraId="122C3F37" w14:textId="3394B3F8" w:rsidR="00A41B82" w:rsidRPr="0011239A" w:rsidRDefault="00A41B82" w:rsidP="00A41B82">
            <w:pPr>
              <w:spacing w:line="276" w:lineRule="auto"/>
              <w:jc w:val="right"/>
              <w:rPr>
                <w:rFonts w:cstheme="minorHAnsi"/>
                <w:szCs w:val="24"/>
                <w:lang w:eastAsia="zh-CN"/>
              </w:rPr>
            </w:pPr>
            <w:r>
              <w:rPr>
                <w:rFonts w:ascii="Arial" w:hAnsi="Arial" w:cs="Arial"/>
                <w:color w:val="000000"/>
                <w:sz w:val="22"/>
                <w:szCs w:val="22"/>
              </w:rPr>
              <w:t>40.0%</w:t>
            </w:r>
          </w:p>
        </w:tc>
      </w:tr>
      <w:tr w:rsidR="00A41B82" w:rsidRPr="00374C95" w14:paraId="2CFEE4A7" w14:textId="77777777" w:rsidTr="003D47D2">
        <w:trPr>
          <w:trHeight w:val="288"/>
        </w:trPr>
        <w:tc>
          <w:tcPr>
            <w:tcW w:w="1427" w:type="pct"/>
            <w:shd w:val="clear" w:color="auto" w:fill="auto"/>
            <w:noWrap/>
            <w:vAlign w:val="center"/>
            <w:hideMark/>
          </w:tcPr>
          <w:p w14:paraId="7F1C2E86" w14:textId="77777777" w:rsidR="00A41B82" w:rsidRPr="00374C95" w:rsidRDefault="00A41B82" w:rsidP="00A41B82">
            <w:pPr>
              <w:spacing w:line="276" w:lineRule="auto"/>
              <w:jc w:val="both"/>
              <w:rPr>
                <w:rFonts w:cstheme="minorHAnsi"/>
                <w:lang w:eastAsia="zh-CN"/>
              </w:rPr>
            </w:pPr>
            <w:r w:rsidRPr="00374C95">
              <w:rPr>
                <w:rFonts w:cstheme="minorHAnsi"/>
                <w:lang w:eastAsia="zh-CN"/>
              </w:rPr>
              <w:t>4</w:t>
            </w:r>
            <w:r>
              <w:rPr>
                <w:rFonts w:cstheme="minorHAnsi"/>
                <w:lang w:eastAsia="zh-CN"/>
              </w:rPr>
              <w:t>+</w:t>
            </w:r>
          </w:p>
        </w:tc>
        <w:tc>
          <w:tcPr>
            <w:tcW w:w="1191" w:type="pct"/>
            <w:tcBorders>
              <w:top w:val="nil"/>
              <w:left w:val="single" w:sz="4" w:space="0" w:color="auto"/>
              <w:bottom w:val="single" w:sz="4" w:space="0" w:color="auto"/>
              <w:right w:val="single" w:sz="4" w:space="0" w:color="auto"/>
            </w:tcBorders>
            <w:shd w:val="clear" w:color="auto" w:fill="auto"/>
            <w:noWrap/>
            <w:vAlign w:val="bottom"/>
          </w:tcPr>
          <w:p w14:paraId="7731CA81" w14:textId="3CEC0D8D" w:rsidR="00A41B82" w:rsidRPr="001B5D5E" w:rsidRDefault="00A41B82" w:rsidP="00A41B82">
            <w:pPr>
              <w:spacing w:line="276" w:lineRule="auto"/>
              <w:jc w:val="right"/>
              <w:rPr>
                <w:rFonts w:cstheme="minorHAnsi"/>
                <w:szCs w:val="24"/>
                <w:lang w:eastAsia="zh-CN"/>
              </w:rPr>
            </w:pPr>
            <w:r>
              <w:rPr>
                <w:rFonts w:ascii="Arial" w:hAnsi="Arial" w:cs="Arial"/>
                <w:color w:val="000000"/>
                <w:sz w:val="22"/>
                <w:szCs w:val="22"/>
              </w:rPr>
              <w:t>16.5%</w:t>
            </w:r>
          </w:p>
        </w:tc>
        <w:tc>
          <w:tcPr>
            <w:tcW w:w="1191" w:type="pct"/>
            <w:tcBorders>
              <w:top w:val="nil"/>
              <w:left w:val="nil"/>
              <w:bottom w:val="single" w:sz="4" w:space="0" w:color="auto"/>
              <w:right w:val="single" w:sz="4" w:space="0" w:color="auto"/>
            </w:tcBorders>
            <w:shd w:val="clear" w:color="auto" w:fill="auto"/>
            <w:noWrap/>
            <w:vAlign w:val="bottom"/>
          </w:tcPr>
          <w:p w14:paraId="4C32B292" w14:textId="4CC43C13" w:rsidR="00A41B82" w:rsidRPr="001B5D5E" w:rsidRDefault="00A41B82" w:rsidP="00A41B82">
            <w:pPr>
              <w:spacing w:line="276" w:lineRule="auto"/>
              <w:jc w:val="right"/>
              <w:rPr>
                <w:rFonts w:cstheme="minorHAnsi"/>
                <w:szCs w:val="24"/>
                <w:lang w:eastAsia="zh-CN"/>
              </w:rPr>
            </w:pPr>
            <w:r>
              <w:rPr>
                <w:rFonts w:ascii="Arial" w:hAnsi="Arial" w:cs="Arial"/>
                <w:color w:val="000000"/>
                <w:sz w:val="22"/>
                <w:szCs w:val="22"/>
              </w:rPr>
              <w:t>16.7%</w:t>
            </w:r>
          </w:p>
        </w:tc>
        <w:tc>
          <w:tcPr>
            <w:tcW w:w="1190" w:type="pct"/>
            <w:tcBorders>
              <w:top w:val="nil"/>
              <w:left w:val="nil"/>
              <w:bottom w:val="single" w:sz="4" w:space="0" w:color="auto"/>
              <w:right w:val="single" w:sz="4" w:space="0" w:color="auto"/>
            </w:tcBorders>
            <w:shd w:val="clear" w:color="000000" w:fill="FFFFFF"/>
            <w:vAlign w:val="bottom"/>
          </w:tcPr>
          <w:p w14:paraId="4FF960AE" w14:textId="2EFE4CD1" w:rsidR="00A41B82" w:rsidRPr="0011239A" w:rsidRDefault="00A41B82" w:rsidP="00A41B82">
            <w:pPr>
              <w:spacing w:line="276" w:lineRule="auto"/>
              <w:jc w:val="right"/>
              <w:rPr>
                <w:rFonts w:cstheme="minorHAnsi"/>
                <w:szCs w:val="24"/>
                <w:lang w:eastAsia="zh-CN"/>
              </w:rPr>
            </w:pPr>
            <w:r>
              <w:rPr>
                <w:rFonts w:ascii="Arial" w:hAnsi="Arial" w:cs="Arial"/>
                <w:color w:val="000000"/>
                <w:sz w:val="22"/>
                <w:szCs w:val="22"/>
              </w:rPr>
              <w:t>21.1%</w:t>
            </w:r>
          </w:p>
        </w:tc>
      </w:tr>
    </w:tbl>
    <w:p w14:paraId="4996B4A8" w14:textId="77777777" w:rsidR="003B3C47" w:rsidRDefault="003B3C47" w:rsidP="00252C91">
      <w:pPr>
        <w:pStyle w:val="Source"/>
        <w:jc w:val="both"/>
      </w:pPr>
      <w:r w:rsidRPr="00374C95">
        <w:t xml:space="preserve">Source: </w:t>
      </w:r>
      <w:r>
        <w:t>Census 2021,</w:t>
      </w:r>
      <w:r w:rsidRPr="00374C95">
        <w:t xml:space="preserve"> AECOM </w:t>
      </w:r>
      <w:r w:rsidRPr="0011239A">
        <w:t>Calculations</w:t>
      </w:r>
    </w:p>
    <w:bookmarkEnd w:id="124"/>
    <w:bookmarkEnd w:id="125"/>
    <w:bookmarkEnd w:id="126"/>
    <w:bookmarkEnd w:id="127"/>
    <w:bookmarkEnd w:id="128"/>
    <w:p w14:paraId="78583D02" w14:textId="77777777" w:rsidR="003B3C47" w:rsidRPr="00764F1A" w:rsidRDefault="003B3C47" w:rsidP="00252C91">
      <w:pPr>
        <w:pStyle w:val="Heading2"/>
        <w:jc w:val="both"/>
        <w:rPr>
          <w:color w:val="auto"/>
        </w:rPr>
      </w:pPr>
      <w:r w:rsidRPr="00764F1A">
        <w:rPr>
          <w:color w:val="auto"/>
        </w:rPr>
        <w:t>Population characteristics</w:t>
      </w:r>
    </w:p>
    <w:p w14:paraId="6C295F73" w14:textId="77777777" w:rsidR="003B3C47" w:rsidRPr="00764F1A" w:rsidRDefault="003B3C47" w:rsidP="00252C91">
      <w:pPr>
        <w:pStyle w:val="Numberedtext"/>
        <w:jc w:val="both"/>
      </w:pPr>
      <w:r w:rsidRPr="00764F1A">
        <w:t xml:space="preserve">This section examines key characteristics of the local population that have a bearing on what housing might be needed in future years. Where available, recent data is used. However, for some information it is necessary to fall back on the 2011 Census. </w:t>
      </w:r>
    </w:p>
    <w:p w14:paraId="0A3FA402" w14:textId="77777777" w:rsidR="003B3C47" w:rsidRPr="00764F1A" w:rsidRDefault="003B3C47" w:rsidP="00252C91">
      <w:pPr>
        <w:pStyle w:val="Heading3"/>
        <w:jc w:val="both"/>
        <w:rPr>
          <w:color w:val="auto"/>
        </w:rPr>
      </w:pPr>
      <w:bookmarkStart w:id="129" w:name="_Toc4428641"/>
      <w:bookmarkStart w:id="130" w:name="_Toc31722662"/>
      <w:bookmarkStart w:id="131" w:name="_Toc102731868"/>
      <w:r w:rsidRPr="00764F1A">
        <w:rPr>
          <w:color w:val="auto"/>
        </w:rPr>
        <w:t xml:space="preserve">Age </w:t>
      </w:r>
      <w:bookmarkEnd w:id="129"/>
      <w:bookmarkEnd w:id="130"/>
      <w:bookmarkEnd w:id="131"/>
    </w:p>
    <w:p w14:paraId="4683A37D" w14:textId="3557E0F1" w:rsidR="003B3C47" w:rsidRPr="00826EF5" w:rsidRDefault="003B3C47" w:rsidP="00252C91">
      <w:pPr>
        <w:pStyle w:val="Numberedtext"/>
        <w:jc w:val="both"/>
      </w:pPr>
      <w:r w:rsidRPr="00826EF5">
        <w:t xml:space="preserve">Table </w:t>
      </w:r>
      <w:r w:rsidR="00DF1175" w:rsidRPr="00826EF5">
        <w:t>5-5</w:t>
      </w:r>
      <w:r w:rsidRPr="00826EF5">
        <w:t xml:space="preserve"> shows the most recent age structure of the NA population</w:t>
      </w:r>
      <w:r w:rsidR="00C27D0E">
        <w:t xml:space="preserve"> (2021)</w:t>
      </w:r>
      <w:r w:rsidRPr="00826EF5">
        <w:t xml:space="preserve">, alongside 2011 Census figures. </w:t>
      </w:r>
      <w:r w:rsidR="00D86AB2" w:rsidRPr="00826EF5">
        <w:t xml:space="preserve">The table shows that there has </w:t>
      </w:r>
      <w:r w:rsidR="00914677" w:rsidRPr="00826EF5">
        <w:t xml:space="preserve">been a </w:t>
      </w:r>
      <w:r w:rsidR="00462F3C">
        <w:t>4</w:t>
      </w:r>
      <w:r w:rsidR="00914677" w:rsidRPr="00826EF5">
        <w:t xml:space="preserve">% increase in the Consett population over the last decade, equating to </w:t>
      </w:r>
      <w:r w:rsidR="001E7473" w:rsidRPr="00826EF5">
        <w:t xml:space="preserve">1,490 more people living in the NA in 2021. </w:t>
      </w:r>
      <w:r w:rsidR="0046005E" w:rsidRPr="00826EF5">
        <w:t xml:space="preserve">The table shows that the most notable changes have been in the population aged between 65-84 (+21%). Correspondingly, there has been a </w:t>
      </w:r>
      <w:r w:rsidR="006A006D" w:rsidRPr="00826EF5">
        <w:t>decline</w:t>
      </w:r>
      <w:r w:rsidR="0046005E" w:rsidRPr="00826EF5">
        <w:t xml:space="preserve"> in the younger population, seen in </w:t>
      </w:r>
      <w:r w:rsidR="001807D4" w:rsidRPr="00826EF5">
        <w:t>those aged either 15-24 (-9%) or 24-44 (-5%)</w:t>
      </w:r>
      <w:r w:rsidR="0040354C" w:rsidRPr="00826EF5">
        <w:t xml:space="preserve">. </w:t>
      </w:r>
    </w:p>
    <w:p w14:paraId="2E959543" w14:textId="3BF392F7" w:rsidR="00A245CA" w:rsidRPr="00826EF5" w:rsidRDefault="0040354C" w:rsidP="00DF5494">
      <w:pPr>
        <w:pStyle w:val="Numberedtext"/>
        <w:jc w:val="both"/>
      </w:pPr>
      <w:r w:rsidRPr="00826EF5">
        <w:t>When ta</w:t>
      </w:r>
      <w:r w:rsidR="001E174D" w:rsidRPr="00826EF5">
        <w:t xml:space="preserve">ken together, </w:t>
      </w:r>
      <w:r w:rsidR="008D6709" w:rsidRPr="00826EF5">
        <w:t xml:space="preserve">these population changes point toward a gradual ageing of the NA population, and a difficulty </w:t>
      </w:r>
      <w:r w:rsidR="00ED69D0" w:rsidRPr="00826EF5">
        <w:t xml:space="preserve">in retaining younger people. However, it may be the case that these migration trends </w:t>
      </w:r>
      <w:r w:rsidR="00876314" w:rsidRPr="00826EF5">
        <w:t xml:space="preserve">are </w:t>
      </w:r>
      <w:r w:rsidR="00A245CA" w:rsidRPr="00826EF5">
        <w:t xml:space="preserve">due to other factors (i.e. employment opportunities) and not </w:t>
      </w:r>
      <w:r w:rsidR="00471FA5" w:rsidRPr="00826EF5">
        <w:t xml:space="preserve">because of an </w:t>
      </w:r>
      <w:r w:rsidR="0048566F">
        <w:t>unsuitable</w:t>
      </w:r>
      <w:r w:rsidR="00471FA5" w:rsidRPr="00826EF5">
        <w:t xml:space="preserve"> housing stock</w:t>
      </w:r>
      <w:r w:rsidR="00876314" w:rsidRPr="00826EF5">
        <w:t xml:space="preserve">, given the relative affordability in the NA and the high proportion of moderately sized homes. </w:t>
      </w:r>
    </w:p>
    <w:p w14:paraId="4E76AF66" w14:textId="0A569F5A" w:rsidR="003B3C47" w:rsidRPr="00764F1A" w:rsidRDefault="003B3C47" w:rsidP="00252C91">
      <w:pPr>
        <w:pStyle w:val="Caption"/>
        <w:jc w:val="both"/>
        <w:rPr>
          <w:color w:val="auto"/>
        </w:rPr>
      </w:pPr>
      <w:r w:rsidRPr="00826EF5">
        <w:rPr>
          <w:color w:val="auto"/>
        </w:rPr>
        <w:lastRenderedPageBreak/>
        <w:t xml:space="preserve">Table </w:t>
      </w:r>
      <w:r w:rsidR="00826EF5" w:rsidRPr="00826EF5">
        <w:rPr>
          <w:color w:val="auto"/>
        </w:rPr>
        <w:t>5-5</w:t>
      </w:r>
      <w:r w:rsidRPr="00826EF5">
        <w:rPr>
          <w:color w:val="auto"/>
        </w:rPr>
        <w:t xml:space="preserve">: Age structure of </w:t>
      </w:r>
      <w:r w:rsidR="00D143F2" w:rsidRPr="00826EF5">
        <w:rPr>
          <w:color w:val="auto"/>
        </w:rPr>
        <w:t>Consett</w:t>
      </w:r>
      <w:r w:rsidRPr="00826EF5">
        <w:rPr>
          <w:color w:val="auto"/>
        </w:rPr>
        <w:t>, 2011 and 2021</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995"/>
        <w:gridCol w:w="1005"/>
        <w:gridCol w:w="2998"/>
        <w:gridCol w:w="1107"/>
        <w:gridCol w:w="1107"/>
      </w:tblGrid>
      <w:tr w:rsidR="00021F51" w:rsidRPr="00374C95" w14:paraId="6F5DE345" w14:textId="77777777" w:rsidTr="00021F51">
        <w:trPr>
          <w:trHeight w:val="288"/>
        </w:trPr>
        <w:tc>
          <w:tcPr>
            <w:tcW w:w="823" w:type="pct"/>
            <w:shd w:val="clear" w:color="auto" w:fill="000000" w:themeFill="text1"/>
            <w:noWrap/>
            <w:vAlign w:val="center"/>
            <w:hideMark/>
          </w:tcPr>
          <w:p w14:paraId="3A33A9FB" w14:textId="77777777" w:rsidR="00021F51" w:rsidRPr="00374C95" w:rsidRDefault="00021F51" w:rsidP="00252C91">
            <w:pPr>
              <w:spacing w:line="276" w:lineRule="auto"/>
              <w:jc w:val="both"/>
              <w:rPr>
                <w:rFonts w:cstheme="minorHAnsi"/>
                <w:b/>
                <w:bCs/>
                <w:color w:val="FFFFFF" w:themeColor="background1"/>
                <w:lang w:eastAsia="zh-CN"/>
              </w:rPr>
            </w:pPr>
            <w:r w:rsidRPr="00374C95">
              <w:rPr>
                <w:rFonts w:cstheme="minorHAnsi"/>
                <w:b/>
                <w:bCs/>
                <w:color w:val="FFFFFF" w:themeColor="background1"/>
                <w:lang w:eastAsia="zh-CN"/>
              </w:rPr>
              <w:t>Age group</w:t>
            </w:r>
          </w:p>
        </w:tc>
        <w:tc>
          <w:tcPr>
            <w:tcW w:w="1526" w:type="pct"/>
            <w:gridSpan w:val="2"/>
            <w:shd w:val="clear" w:color="000000" w:fill="000000"/>
            <w:noWrap/>
            <w:vAlign w:val="center"/>
            <w:hideMark/>
          </w:tcPr>
          <w:p w14:paraId="66D7AA0F" w14:textId="1FF2B062" w:rsidR="00021F51" w:rsidRDefault="00021F51" w:rsidP="00021F51">
            <w:pPr>
              <w:spacing w:line="276" w:lineRule="auto"/>
              <w:jc w:val="center"/>
              <w:rPr>
                <w:b/>
                <w:bCs/>
                <w:color w:val="FFFFFF"/>
              </w:rPr>
            </w:pPr>
            <w:r>
              <w:rPr>
                <w:b/>
                <w:bCs/>
                <w:color w:val="FFFFFF"/>
              </w:rPr>
              <w:t>2011 (Census)</w:t>
            </w:r>
          </w:p>
        </w:tc>
        <w:tc>
          <w:tcPr>
            <w:tcW w:w="2088" w:type="pct"/>
            <w:gridSpan w:val="2"/>
            <w:shd w:val="clear" w:color="000000" w:fill="000000"/>
            <w:noWrap/>
            <w:vAlign w:val="center"/>
            <w:hideMark/>
          </w:tcPr>
          <w:p w14:paraId="7BFAEDB9" w14:textId="63945236" w:rsidR="00021F51" w:rsidRDefault="00021F51" w:rsidP="00021F51">
            <w:pPr>
              <w:spacing w:line="276" w:lineRule="auto"/>
              <w:jc w:val="center"/>
              <w:rPr>
                <w:b/>
                <w:bCs/>
                <w:color w:val="FFFFFF"/>
              </w:rPr>
            </w:pPr>
            <w:r>
              <w:rPr>
                <w:b/>
                <w:bCs/>
                <w:color w:val="FFFFFF"/>
              </w:rPr>
              <w:t>2021 (Census)</w:t>
            </w:r>
          </w:p>
        </w:tc>
        <w:tc>
          <w:tcPr>
            <w:tcW w:w="563" w:type="pct"/>
            <w:shd w:val="clear" w:color="000000" w:fill="000000"/>
          </w:tcPr>
          <w:p w14:paraId="647ECBD0" w14:textId="77777777" w:rsidR="00021F51" w:rsidRDefault="00021F51" w:rsidP="00021F51">
            <w:pPr>
              <w:spacing w:line="276" w:lineRule="auto"/>
              <w:jc w:val="center"/>
              <w:rPr>
                <w:b/>
                <w:bCs/>
                <w:color w:val="FFFFFF"/>
              </w:rPr>
            </w:pPr>
            <w:r>
              <w:rPr>
                <w:b/>
                <w:bCs/>
                <w:color w:val="FFFFFF"/>
              </w:rPr>
              <w:t>Change</w:t>
            </w:r>
          </w:p>
        </w:tc>
      </w:tr>
      <w:tr w:rsidR="00AC5DC9" w:rsidRPr="00374C95" w14:paraId="0364BC5C" w14:textId="77777777" w:rsidTr="00B7344E">
        <w:trPr>
          <w:trHeight w:val="288"/>
        </w:trPr>
        <w:tc>
          <w:tcPr>
            <w:tcW w:w="823" w:type="pct"/>
            <w:shd w:val="clear" w:color="auto" w:fill="auto"/>
            <w:noWrap/>
            <w:vAlign w:val="center"/>
            <w:hideMark/>
          </w:tcPr>
          <w:p w14:paraId="7FE4BFCE" w14:textId="77777777" w:rsidR="00AC5DC9" w:rsidRPr="00374C95" w:rsidRDefault="00AC5DC9" w:rsidP="00AC5DC9">
            <w:pPr>
              <w:spacing w:line="276" w:lineRule="auto"/>
              <w:jc w:val="both"/>
              <w:rPr>
                <w:rFonts w:cstheme="minorHAnsi"/>
                <w:lang w:eastAsia="zh-CN"/>
              </w:rPr>
            </w:pPr>
            <w:r w:rsidRPr="00374C95">
              <w:rPr>
                <w:rFonts w:cstheme="minorHAnsi"/>
                <w:lang w:eastAsia="zh-CN"/>
              </w:rPr>
              <w:t>0-1</w:t>
            </w:r>
            <w:r>
              <w:rPr>
                <w:rFonts w:cstheme="minorHAnsi"/>
                <w:lang w:eastAsia="zh-CN"/>
              </w:rPr>
              <w:t>4</w:t>
            </w:r>
          </w:p>
        </w:tc>
        <w:tc>
          <w:tcPr>
            <w:tcW w:w="10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9F37DA" w14:textId="72E9AD9C" w:rsidR="00AC5DC9" w:rsidRPr="00C342FB" w:rsidRDefault="00AC5DC9" w:rsidP="00AC5DC9">
            <w:pPr>
              <w:spacing w:line="276" w:lineRule="auto"/>
              <w:jc w:val="right"/>
              <w:rPr>
                <w:rFonts w:cstheme="minorHAnsi"/>
                <w:szCs w:val="24"/>
                <w:lang w:eastAsia="zh-CN"/>
              </w:rPr>
            </w:pPr>
            <w:r>
              <w:rPr>
                <w:rFonts w:ascii="Arial" w:hAnsi="Arial" w:cs="Arial"/>
                <w:color w:val="000000"/>
                <w:sz w:val="22"/>
                <w:szCs w:val="22"/>
              </w:rPr>
              <w:t>6246</w:t>
            </w:r>
          </w:p>
        </w:tc>
        <w:tc>
          <w:tcPr>
            <w:tcW w:w="511" w:type="pct"/>
            <w:tcBorders>
              <w:top w:val="single" w:sz="4" w:space="0" w:color="auto"/>
              <w:left w:val="nil"/>
              <w:bottom w:val="single" w:sz="4" w:space="0" w:color="auto"/>
              <w:right w:val="single" w:sz="4" w:space="0" w:color="auto"/>
            </w:tcBorders>
            <w:shd w:val="clear" w:color="auto" w:fill="auto"/>
            <w:vAlign w:val="bottom"/>
          </w:tcPr>
          <w:p w14:paraId="482E5CF8" w14:textId="2B6D3F70" w:rsidR="00AC5DC9" w:rsidRPr="00611D27" w:rsidRDefault="00AC5DC9" w:rsidP="00AC5DC9">
            <w:pPr>
              <w:spacing w:line="276" w:lineRule="auto"/>
              <w:jc w:val="right"/>
              <w:rPr>
                <w:rFonts w:cstheme="minorHAnsi"/>
                <w:szCs w:val="24"/>
                <w:lang w:eastAsia="zh-CN"/>
              </w:rPr>
            </w:pPr>
            <w:r>
              <w:rPr>
                <w:rFonts w:ascii="Arial" w:hAnsi="Arial" w:cs="Arial"/>
                <w:color w:val="000000"/>
                <w:sz w:val="22"/>
                <w:szCs w:val="22"/>
              </w:rPr>
              <w:t>16.9%</w:t>
            </w:r>
          </w:p>
        </w:tc>
        <w:tc>
          <w:tcPr>
            <w:tcW w:w="1525" w:type="pct"/>
            <w:tcBorders>
              <w:top w:val="single" w:sz="4" w:space="0" w:color="auto"/>
              <w:left w:val="nil"/>
              <w:bottom w:val="single" w:sz="4" w:space="0" w:color="auto"/>
              <w:right w:val="single" w:sz="4" w:space="0" w:color="auto"/>
            </w:tcBorders>
            <w:shd w:val="clear" w:color="auto" w:fill="auto"/>
            <w:noWrap/>
            <w:vAlign w:val="bottom"/>
          </w:tcPr>
          <w:p w14:paraId="35B16778" w14:textId="1B3A893A" w:rsidR="00AC5DC9" w:rsidRPr="00934414" w:rsidRDefault="00AC5DC9" w:rsidP="00AC5DC9">
            <w:pPr>
              <w:spacing w:line="276" w:lineRule="auto"/>
              <w:jc w:val="right"/>
              <w:rPr>
                <w:rFonts w:cstheme="minorHAnsi"/>
                <w:lang w:eastAsia="zh-CN"/>
              </w:rPr>
            </w:pPr>
            <w:r>
              <w:rPr>
                <w:rFonts w:ascii="Arial" w:hAnsi="Arial" w:cs="Arial"/>
                <w:color w:val="000000"/>
                <w:sz w:val="22"/>
                <w:szCs w:val="22"/>
              </w:rPr>
              <w:t>6,568</w:t>
            </w:r>
          </w:p>
        </w:tc>
        <w:tc>
          <w:tcPr>
            <w:tcW w:w="563" w:type="pct"/>
            <w:tcBorders>
              <w:top w:val="single" w:sz="4" w:space="0" w:color="auto"/>
              <w:left w:val="nil"/>
              <w:bottom w:val="single" w:sz="4" w:space="0" w:color="auto"/>
              <w:right w:val="single" w:sz="4" w:space="0" w:color="auto"/>
            </w:tcBorders>
            <w:shd w:val="clear" w:color="auto" w:fill="auto"/>
            <w:vAlign w:val="bottom"/>
          </w:tcPr>
          <w:p w14:paraId="71DB241B" w14:textId="71016D30" w:rsidR="00AC5DC9" w:rsidRDefault="00AC5DC9" w:rsidP="00AC5DC9">
            <w:pPr>
              <w:spacing w:line="276" w:lineRule="auto"/>
              <w:jc w:val="right"/>
              <w:rPr>
                <w:rFonts w:cstheme="minorHAnsi"/>
                <w:lang w:eastAsia="zh-CN"/>
              </w:rPr>
            </w:pPr>
            <w:r>
              <w:rPr>
                <w:rFonts w:ascii="Arial" w:hAnsi="Arial" w:cs="Arial"/>
                <w:color w:val="000000"/>
                <w:sz w:val="22"/>
                <w:szCs w:val="22"/>
              </w:rPr>
              <w:t>17.0%</w:t>
            </w:r>
          </w:p>
        </w:tc>
        <w:tc>
          <w:tcPr>
            <w:tcW w:w="563" w:type="pct"/>
            <w:tcBorders>
              <w:top w:val="single" w:sz="4" w:space="0" w:color="auto"/>
              <w:left w:val="nil"/>
              <w:bottom w:val="single" w:sz="4" w:space="0" w:color="auto"/>
              <w:right w:val="single" w:sz="4" w:space="0" w:color="auto"/>
            </w:tcBorders>
            <w:shd w:val="clear" w:color="auto" w:fill="auto"/>
            <w:vAlign w:val="bottom"/>
          </w:tcPr>
          <w:p w14:paraId="7F0524E1" w14:textId="0A367477" w:rsidR="00AC5DC9" w:rsidRDefault="00AC5DC9" w:rsidP="00AC5DC9">
            <w:pPr>
              <w:spacing w:line="276" w:lineRule="auto"/>
              <w:jc w:val="right"/>
              <w:rPr>
                <w:rFonts w:cstheme="minorHAnsi"/>
                <w:lang w:eastAsia="zh-CN"/>
              </w:rPr>
            </w:pPr>
            <w:r>
              <w:rPr>
                <w:rFonts w:ascii="Arial" w:hAnsi="Arial" w:cs="Arial"/>
                <w:color w:val="000000"/>
                <w:sz w:val="22"/>
                <w:szCs w:val="22"/>
              </w:rPr>
              <w:t>5.2%</w:t>
            </w:r>
          </w:p>
        </w:tc>
      </w:tr>
      <w:tr w:rsidR="00AC5DC9" w:rsidRPr="00374C95" w14:paraId="4BFC8753" w14:textId="77777777" w:rsidTr="00B7344E">
        <w:trPr>
          <w:trHeight w:val="288"/>
        </w:trPr>
        <w:tc>
          <w:tcPr>
            <w:tcW w:w="823" w:type="pct"/>
            <w:shd w:val="clear" w:color="auto" w:fill="auto"/>
            <w:noWrap/>
            <w:vAlign w:val="center"/>
            <w:hideMark/>
          </w:tcPr>
          <w:p w14:paraId="4A9AC932" w14:textId="77777777" w:rsidR="00AC5DC9" w:rsidRPr="00374C95" w:rsidRDefault="00AC5DC9" w:rsidP="00AC5DC9">
            <w:pPr>
              <w:spacing w:line="276" w:lineRule="auto"/>
              <w:jc w:val="both"/>
              <w:rPr>
                <w:rFonts w:cstheme="minorHAnsi"/>
                <w:lang w:eastAsia="zh-CN"/>
              </w:rPr>
            </w:pPr>
            <w:r w:rsidRPr="00374C95">
              <w:rPr>
                <w:rFonts w:cstheme="minorHAnsi"/>
                <w:lang w:eastAsia="zh-CN"/>
              </w:rPr>
              <w:t>1</w:t>
            </w:r>
            <w:r>
              <w:rPr>
                <w:rFonts w:cstheme="minorHAnsi"/>
                <w:lang w:eastAsia="zh-CN"/>
              </w:rPr>
              <w:t>5</w:t>
            </w:r>
            <w:r w:rsidRPr="00374C95">
              <w:rPr>
                <w:rFonts w:cstheme="minorHAnsi"/>
                <w:lang w:eastAsia="zh-CN"/>
              </w:rPr>
              <w:t>-24</w:t>
            </w:r>
          </w:p>
        </w:tc>
        <w:tc>
          <w:tcPr>
            <w:tcW w:w="1015" w:type="pct"/>
            <w:tcBorders>
              <w:top w:val="nil"/>
              <w:left w:val="single" w:sz="4" w:space="0" w:color="auto"/>
              <w:bottom w:val="single" w:sz="4" w:space="0" w:color="auto"/>
              <w:right w:val="single" w:sz="4" w:space="0" w:color="auto"/>
            </w:tcBorders>
            <w:shd w:val="clear" w:color="auto" w:fill="auto"/>
            <w:noWrap/>
            <w:vAlign w:val="bottom"/>
          </w:tcPr>
          <w:p w14:paraId="2F2570B6" w14:textId="42FC801B" w:rsidR="00AC5DC9" w:rsidRPr="00C342FB" w:rsidRDefault="00AC5DC9" w:rsidP="00AC5DC9">
            <w:pPr>
              <w:spacing w:line="276" w:lineRule="auto"/>
              <w:jc w:val="right"/>
              <w:rPr>
                <w:rFonts w:cstheme="minorHAnsi"/>
                <w:szCs w:val="24"/>
                <w:lang w:eastAsia="zh-CN"/>
              </w:rPr>
            </w:pPr>
            <w:r>
              <w:rPr>
                <w:rFonts w:ascii="Arial" w:hAnsi="Arial" w:cs="Arial"/>
                <w:color w:val="000000"/>
                <w:sz w:val="22"/>
                <w:szCs w:val="22"/>
              </w:rPr>
              <w:t>4173</w:t>
            </w:r>
          </w:p>
        </w:tc>
        <w:tc>
          <w:tcPr>
            <w:tcW w:w="511" w:type="pct"/>
            <w:tcBorders>
              <w:top w:val="nil"/>
              <w:left w:val="nil"/>
              <w:bottom w:val="single" w:sz="4" w:space="0" w:color="auto"/>
              <w:right w:val="single" w:sz="4" w:space="0" w:color="auto"/>
            </w:tcBorders>
            <w:shd w:val="clear" w:color="auto" w:fill="auto"/>
            <w:vAlign w:val="bottom"/>
          </w:tcPr>
          <w:p w14:paraId="4A61BF06" w14:textId="74974804" w:rsidR="00AC5DC9" w:rsidRPr="00611D27" w:rsidRDefault="00AC5DC9" w:rsidP="00AC5DC9">
            <w:pPr>
              <w:spacing w:line="276" w:lineRule="auto"/>
              <w:jc w:val="right"/>
              <w:rPr>
                <w:rFonts w:cstheme="minorHAnsi"/>
                <w:szCs w:val="24"/>
                <w:lang w:eastAsia="zh-CN"/>
              </w:rPr>
            </w:pPr>
            <w:r>
              <w:rPr>
                <w:rFonts w:ascii="Arial" w:hAnsi="Arial" w:cs="Arial"/>
                <w:color w:val="000000"/>
                <w:sz w:val="22"/>
                <w:szCs w:val="22"/>
              </w:rPr>
              <w:t>11.3%</w:t>
            </w:r>
          </w:p>
        </w:tc>
        <w:tc>
          <w:tcPr>
            <w:tcW w:w="1525" w:type="pct"/>
            <w:tcBorders>
              <w:top w:val="nil"/>
              <w:left w:val="nil"/>
              <w:bottom w:val="single" w:sz="4" w:space="0" w:color="auto"/>
              <w:right w:val="single" w:sz="4" w:space="0" w:color="auto"/>
            </w:tcBorders>
            <w:shd w:val="clear" w:color="auto" w:fill="auto"/>
            <w:noWrap/>
            <w:vAlign w:val="bottom"/>
          </w:tcPr>
          <w:p w14:paraId="22EA18E8" w14:textId="67C48FE1" w:rsidR="00AC5DC9" w:rsidRPr="00934414" w:rsidRDefault="00AC5DC9" w:rsidP="00AC5DC9">
            <w:pPr>
              <w:spacing w:line="276" w:lineRule="auto"/>
              <w:jc w:val="right"/>
              <w:rPr>
                <w:rFonts w:cstheme="minorHAnsi"/>
                <w:lang w:eastAsia="zh-CN"/>
              </w:rPr>
            </w:pPr>
            <w:r>
              <w:rPr>
                <w:rFonts w:ascii="Arial" w:hAnsi="Arial" w:cs="Arial"/>
                <w:color w:val="000000"/>
                <w:sz w:val="22"/>
                <w:szCs w:val="22"/>
              </w:rPr>
              <w:t>3,800</w:t>
            </w:r>
          </w:p>
        </w:tc>
        <w:tc>
          <w:tcPr>
            <w:tcW w:w="563" w:type="pct"/>
            <w:tcBorders>
              <w:top w:val="nil"/>
              <w:left w:val="nil"/>
              <w:bottom w:val="single" w:sz="4" w:space="0" w:color="auto"/>
              <w:right w:val="single" w:sz="4" w:space="0" w:color="auto"/>
            </w:tcBorders>
            <w:shd w:val="clear" w:color="auto" w:fill="auto"/>
            <w:vAlign w:val="bottom"/>
          </w:tcPr>
          <w:p w14:paraId="09CA39F3" w14:textId="2E21806E" w:rsidR="00AC5DC9" w:rsidRDefault="00AC5DC9" w:rsidP="00AC5DC9">
            <w:pPr>
              <w:spacing w:line="276" w:lineRule="auto"/>
              <w:jc w:val="right"/>
              <w:rPr>
                <w:rFonts w:cstheme="minorHAnsi"/>
                <w:lang w:eastAsia="zh-CN"/>
              </w:rPr>
            </w:pPr>
            <w:r>
              <w:rPr>
                <w:rFonts w:ascii="Arial" w:hAnsi="Arial" w:cs="Arial"/>
                <w:color w:val="000000"/>
                <w:sz w:val="22"/>
                <w:szCs w:val="22"/>
              </w:rPr>
              <w:t>9.9%</w:t>
            </w:r>
          </w:p>
        </w:tc>
        <w:tc>
          <w:tcPr>
            <w:tcW w:w="563" w:type="pct"/>
            <w:tcBorders>
              <w:top w:val="nil"/>
              <w:left w:val="nil"/>
              <w:bottom w:val="single" w:sz="4" w:space="0" w:color="auto"/>
              <w:right w:val="single" w:sz="4" w:space="0" w:color="auto"/>
            </w:tcBorders>
            <w:shd w:val="clear" w:color="auto" w:fill="auto"/>
            <w:vAlign w:val="bottom"/>
          </w:tcPr>
          <w:p w14:paraId="2E1DE590" w14:textId="3EA4602B" w:rsidR="00AC5DC9" w:rsidRDefault="00AC5DC9" w:rsidP="00AC5DC9">
            <w:pPr>
              <w:spacing w:line="276" w:lineRule="auto"/>
              <w:jc w:val="right"/>
              <w:rPr>
                <w:rFonts w:cstheme="minorHAnsi"/>
                <w:lang w:eastAsia="zh-CN"/>
              </w:rPr>
            </w:pPr>
            <w:r>
              <w:rPr>
                <w:rFonts w:ascii="Arial" w:hAnsi="Arial" w:cs="Arial"/>
                <w:color w:val="000000"/>
                <w:sz w:val="22"/>
                <w:szCs w:val="22"/>
              </w:rPr>
              <w:t>-8.9%</w:t>
            </w:r>
          </w:p>
        </w:tc>
      </w:tr>
      <w:tr w:rsidR="00AC5DC9" w:rsidRPr="00374C95" w14:paraId="1FCD770F" w14:textId="77777777" w:rsidTr="00B7344E">
        <w:trPr>
          <w:trHeight w:val="288"/>
        </w:trPr>
        <w:tc>
          <w:tcPr>
            <w:tcW w:w="823" w:type="pct"/>
            <w:shd w:val="clear" w:color="auto" w:fill="auto"/>
            <w:noWrap/>
            <w:vAlign w:val="center"/>
            <w:hideMark/>
          </w:tcPr>
          <w:p w14:paraId="31E055F7" w14:textId="77777777" w:rsidR="00AC5DC9" w:rsidRPr="00374C95" w:rsidRDefault="00AC5DC9" w:rsidP="00AC5DC9">
            <w:pPr>
              <w:spacing w:line="276" w:lineRule="auto"/>
              <w:jc w:val="both"/>
              <w:rPr>
                <w:rFonts w:cstheme="minorHAnsi"/>
                <w:lang w:eastAsia="zh-CN"/>
              </w:rPr>
            </w:pPr>
            <w:r w:rsidRPr="00374C95">
              <w:rPr>
                <w:rFonts w:cstheme="minorHAnsi"/>
                <w:lang w:eastAsia="zh-CN"/>
              </w:rPr>
              <w:t>25-44</w:t>
            </w:r>
          </w:p>
        </w:tc>
        <w:tc>
          <w:tcPr>
            <w:tcW w:w="1015" w:type="pct"/>
            <w:tcBorders>
              <w:top w:val="nil"/>
              <w:left w:val="single" w:sz="4" w:space="0" w:color="auto"/>
              <w:bottom w:val="single" w:sz="4" w:space="0" w:color="auto"/>
              <w:right w:val="single" w:sz="4" w:space="0" w:color="auto"/>
            </w:tcBorders>
            <w:shd w:val="clear" w:color="auto" w:fill="auto"/>
            <w:noWrap/>
            <w:vAlign w:val="bottom"/>
          </w:tcPr>
          <w:p w14:paraId="064EC445" w14:textId="78601D77" w:rsidR="00AC5DC9" w:rsidRPr="00C342FB" w:rsidRDefault="00AC5DC9" w:rsidP="00AC5DC9">
            <w:pPr>
              <w:spacing w:line="276" w:lineRule="auto"/>
              <w:jc w:val="right"/>
              <w:rPr>
                <w:rFonts w:cstheme="minorHAnsi"/>
                <w:szCs w:val="24"/>
                <w:lang w:eastAsia="zh-CN"/>
              </w:rPr>
            </w:pPr>
            <w:r>
              <w:rPr>
                <w:rFonts w:ascii="Arial" w:hAnsi="Arial" w:cs="Arial"/>
                <w:color w:val="000000"/>
                <w:sz w:val="22"/>
                <w:szCs w:val="22"/>
              </w:rPr>
              <w:t>9958</w:t>
            </w:r>
          </w:p>
        </w:tc>
        <w:tc>
          <w:tcPr>
            <w:tcW w:w="511" w:type="pct"/>
            <w:tcBorders>
              <w:top w:val="nil"/>
              <w:left w:val="nil"/>
              <w:bottom w:val="single" w:sz="4" w:space="0" w:color="auto"/>
              <w:right w:val="single" w:sz="4" w:space="0" w:color="auto"/>
            </w:tcBorders>
            <w:shd w:val="clear" w:color="auto" w:fill="auto"/>
            <w:vAlign w:val="bottom"/>
          </w:tcPr>
          <w:p w14:paraId="16CC2EE3" w14:textId="265B483A" w:rsidR="00AC5DC9" w:rsidRPr="00611D27" w:rsidRDefault="00AC5DC9" w:rsidP="00AC5DC9">
            <w:pPr>
              <w:spacing w:line="276" w:lineRule="auto"/>
              <w:jc w:val="right"/>
              <w:rPr>
                <w:rFonts w:cstheme="minorHAnsi"/>
                <w:szCs w:val="24"/>
                <w:lang w:eastAsia="zh-CN"/>
              </w:rPr>
            </w:pPr>
            <w:r>
              <w:rPr>
                <w:rFonts w:ascii="Arial" w:hAnsi="Arial" w:cs="Arial"/>
                <w:color w:val="000000"/>
                <w:sz w:val="22"/>
                <w:szCs w:val="22"/>
              </w:rPr>
              <w:t>26.9%</w:t>
            </w:r>
          </w:p>
        </w:tc>
        <w:tc>
          <w:tcPr>
            <w:tcW w:w="1525" w:type="pct"/>
            <w:tcBorders>
              <w:top w:val="nil"/>
              <w:left w:val="nil"/>
              <w:bottom w:val="single" w:sz="4" w:space="0" w:color="auto"/>
              <w:right w:val="single" w:sz="4" w:space="0" w:color="auto"/>
            </w:tcBorders>
            <w:shd w:val="clear" w:color="auto" w:fill="auto"/>
            <w:noWrap/>
            <w:vAlign w:val="bottom"/>
          </w:tcPr>
          <w:p w14:paraId="322F6733" w14:textId="5A8F71A4" w:rsidR="00AC5DC9" w:rsidRPr="00934414" w:rsidRDefault="00AC5DC9" w:rsidP="00AC5DC9">
            <w:pPr>
              <w:spacing w:line="276" w:lineRule="auto"/>
              <w:jc w:val="right"/>
              <w:rPr>
                <w:rFonts w:cstheme="minorHAnsi"/>
                <w:lang w:eastAsia="zh-CN"/>
              </w:rPr>
            </w:pPr>
            <w:r>
              <w:rPr>
                <w:rFonts w:ascii="Arial" w:hAnsi="Arial" w:cs="Arial"/>
                <w:color w:val="000000"/>
                <w:sz w:val="22"/>
                <w:szCs w:val="22"/>
              </w:rPr>
              <w:t>9,502</w:t>
            </w:r>
          </w:p>
        </w:tc>
        <w:tc>
          <w:tcPr>
            <w:tcW w:w="563" w:type="pct"/>
            <w:tcBorders>
              <w:top w:val="nil"/>
              <w:left w:val="nil"/>
              <w:bottom w:val="single" w:sz="4" w:space="0" w:color="auto"/>
              <w:right w:val="single" w:sz="4" w:space="0" w:color="auto"/>
            </w:tcBorders>
            <w:shd w:val="clear" w:color="auto" w:fill="auto"/>
            <w:vAlign w:val="bottom"/>
          </w:tcPr>
          <w:p w14:paraId="5F96D3DC" w14:textId="55CACE39" w:rsidR="00AC5DC9" w:rsidRDefault="00AC5DC9" w:rsidP="00AC5DC9">
            <w:pPr>
              <w:spacing w:line="276" w:lineRule="auto"/>
              <w:jc w:val="right"/>
              <w:rPr>
                <w:rFonts w:cstheme="minorHAnsi"/>
                <w:lang w:eastAsia="zh-CN"/>
              </w:rPr>
            </w:pPr>
            <w:r>
              <w:rPr>
                <w:rFonts w:ascii="Arial" w:hAnsi="Arial" w:cs="Arial"/>
                <w:color w:val="000000"/>
                <w:sz w:val="22"/>
                <w:szCs w:val="22"/>
              </w:rPr>
              <w:t>24.7%</w:t>
            </w:r>
          </w:p>
        </w:tc>
        <w:tc>
          <w:tcPr>
            <w:tcW w:w="563" w:type="pct"/>
            <w:tcBorders>
              <w:top w:val="nil"/>
              <w:left w:val="nil"/>
              <w:bottom w:val="single" w:sz="4" w:space="0" w:color="auto"/>
              <w:right w:val="single" w:sz="4" w:space="0" w:color="auto"/>
            </w:tcBorders>
            <w:shd w:val="clear" w:color="auto" w:fill="auto"/>
            <w:vAlign w:val="bottom"/>
          </w:tcPr>
          <w:p w14:paraId="384A91F0" w14:textId="6947250D" w:rsidR="00AC5DC9" w:rsidRDefault="00AC5DC9" w:rsidP="00AC5DC9">
            <w:pPr>
              <w:spacing w:line="276" w:lineRule="auto"/>
              <w:jc w:val="right"/>
              <w:rPr>
                <w:rFonts w:cstheme="minorHAnsi"/>
                <w:lang w:eastAsia="zh-CN"/>
              </w:rPr>
            </w:pPr>
            <w:r>
              <w:rPr>
                <w:rFonts w:ascii="Arial" w:hAnsi="Arial" w:cs="Arial"/>
                <w:color w:val="000000"/>
                <w:sz w:val="22"/>
                <w:szCs w:val="22"/>
              </w:rPr>
              <w:t>-4.6%</w:t>
            </w:r>
          </w:p>
        </w:tc>
      </w:tr>
      <w:tr w:rsidR="00AC5DC9" w:rsidRPr="00374C95" w14:paraId="3F35A758" w14:textId="77777777" w:rsidTr="00B7344E">
        <w:trPr>
          <w:trHeight w:val="288"/>
        </w:trPr>
        <w:tc>
          <w:tcPr>
            <w:tcW w:w="823" w:type="pct"/>
            <w:shd w:val="clear" w:color="auto" w:fill="auto"/>
            <w:noWrap/>
            <w:vAlign w:val="center"/>
            <w:hideMark/>
          </w:tcPr>
          <w:p w14:paraId="285D503E" w14:textId="77777777" w:rsidR="00AC5DC9" w:rsidRPr="00374C95" w:rsidRDefault="00AC5DC9" w:rsidP="00AC5DC9">
            <w:pPr>
              <w:spacing w:line="276" w:lineRule="auto"/>
              <w:jc w:val="both"/>
              <w:rPr>
                <w:rFonts w:cstheme="minorHAnsi"/>
                <w:lang w:eastAsia="zh-CN"/>
              </w:rPr>
            </w:pPr>
            <w:r w:rsidRPr="00374C95">
              <w:rPr>
                <w:rFonts w:cstheme="minorHAnsi"/>
                <w:lang w:eastAsia="zh-CN"/>
              </w:rPr>
              <w:t>45-64</w:t>
            </w:r>
          </w:p>
        </w:tc>
        <w:tc>
          <w:tcPr>
            <w:tcW w:w="1015" w:type="pct"/>
            <w:tcBorders>
              <w:top w:val="nil"/>
              <w:left w:val="single" w:sz="4" w:space="0" w:color="auto"/>
              <w:bottom w:val="single" w:sz="4" w:space="0" w:color="auto"/>
              <w:right w:val="single" w:sz="4" w:space="0" w:color="auto"/>
            </w:tcBorders>
            <w:shd w:val="clear" w:color="auto" w:fill="auto"/>
            <w:noWrap/>
            <w:vAlign w:val="bottom"/>
          </w:tcPr>
          <w:p w14:paraId="1EDC338A" w14:textId="70B77847" w:rsidR="00AC5DC9" w:rsidRPr="00C342FB" w:rsidRDefault="00AC5DC9" w:rsidP="00AC5DC9">
            <w:pPr>
              <w:spacing w:line="276" w:lineRule="auto"/>
              <w:jc w:val="right"/>
              <w:rPr>
                <w:rFonts w:cstheme="minorHAnsi"/>
                <w:szCs w:val="24"/>
                <w:lang w:eastAsia="zh-CN"/>
              </w:rPr>
            </w:pPr>
            <w:r>
              <w:rPr>
                <w:rFonts w:ascii="Arial" w:hAnsi="Arial" w:cs="Arial"/>
                <w:color w:val="000000"/>
                <w:sz w:val="22"/>
                <w:szCs w:val="22"/>
              </w:rPr>
              <w:t>10114</w:t>
            </w:r>
          </w:p>
        </w:tc>
        <w:tc>
          <w:tcPr>
            <w:tcW w:w="511" w:type="pct"/>
            <w:tcBorders>
              <w:top w:val="nil"/>
              <w:left w:val="nil"/>
              <w:bottom w:val="single" w:sz="4" w:space="0" w:color="auto"/>
              <w:right w:val="single" w:sz="4" w:space="0" w:color="auto"/>
            </w:tcBorders>
            <w:shd w:val="clear" w:color="auto" w:fill="auto"/>
            <w:vAlign w:val="bottom"/>
          </w:tcPr>
          <w:p w14:paraId="00B206E2" w14:textId="6E08752E" w:rsidR="00AC5DC9" w:rsidRPr="00611D27" w:rsidRDefault="00AC5DC9" w:rsidP="00AC5DC9">
            <w:pPr>
              <w:spacing w:line="276" w:lineRule="auto"/>
              <w:jc w:val="right"/>
              <w:rPr>
                <w:rFonts w:cstheme="minorHAnsi"/>
                <w:szCs w:val="24"/>
                <w:lang w:eastAsia="zh-CN"/>
              </w:rPr>
            </w:pPr>
            <w:r>
              <w:rPr>
                <w:rFonts w:ascii="Arial" w:hAnsi="Arial" w:cs="Arial"/>
                <w:color w:val="000000"/>
                <w:sz w:val="22"/>
                <w:szCs w:val="22"/>
              </w:rPr>
              <w:t>27.3%</w:t>
            </w:r>
          </w:p>
        </w:tc>
        <w:tc>
          <w:tcPr>
            <w:tcW w:w="1525" w:type="pct"/>
            <w:tcBorders>
              <w:top w:val="nil"/>
              <w:left w:val="nil"/>
              <w:bottom w:val="single" w:sz="4" w:space="0" w:color="auto"/>
              <w:right w:val="single" w:sz="4" w:space="0" w:color="auto"/>
            </w:tcBorders>
            <w:shd w:val="clear" w:color="auto" w:fill="auto"/>
            <w:noWrap/>
            <w:vAlign w:val="bottom"/>
          </w:tcPr>
          <w:p w14:paraId="48BEC619" w14:textId="522440E4" w:rsidR="00AC5DC9" w:rsidRPr="00934414" w:rsidRDefault="00AC5DC9" w:rsidP="00AC5DC9">
            <w:pPr>
              <w:spacing w:line="276" w:lineRule="auto"/>
              <w:jc w:val="right"/>
              <w:rPr>
                <w:rFonts w:cstheme="minorHAnsi"/>
                <w:lang w:eastAsia="zh-CN"/>
              </w:rPr>
            </w:pPr>
            <w:r>
              <w:rPr>
                <w:rFonts w:ascii="Arial" w:hAnsi="Arial" w:cs="Arial"/>
                <w:color w:val="000000"/>
                <w:sz w:val="22"/>
                <w:szCs w:val="22"/>
              </w:rPr>
              <w:t>10,870</w:t>
            </w:r>
          </w:p>
        </w:tc>
        <w:tc>
          <w:tcPr>
            <w:tcW w:w="563" w:type="pct"/>
            <w:tcBorders>
              <w:top w:val="nil"/>
              <w:left w:val="nil"/>
              <w:bottom w:val="single" w:sz="4" w:space="0" w:color="auto"/>
              <w:right w:val="single" w:sz="4" w:space="0" w:color="auto"/>
            </w:tcBorders>
            <w:shd w:val="clear" w:color="auto" w:fill="auto"/>
            <w:vAlign w:val="bottom"/>
          </w:tcPr>
          <w:p w14:paraId="59C27730" w14:textId="78B13878" w:rsidR="00AC5DC9" w:rsidRDefault="00AC5DC9" w:rsidP="00AC5DC9">
            <w:pPr>
              <w:spacing w:line="276" w:lineRule="auto"/>
              <w:jc w:val="right"/>
              <w:rPr>
                <w:rFonts w:cstheme="minorHAnsi"/>
                <w:lang w:eastAsia="zh-CN"/>
              </w:rPr>
            </w:pPr>
            <w:r>
              <w:rPr>
                <w:rFonts w:ascii="Arial" w:hAnsi="Arial" w:cs="Arial"/>
                <w:color w:val="000000"/>
                <w:sz w:val="22"/>
                <w:szCs w:val="22"/>
              </w:rPr>
              <w:t>28.2%</w:t>
            </w:r>
          </w:p>
        </w:tc>
        <w:tc>
          <w:tcPr>
            <w:tcW w:w="563" w:type="pct"/>
            <w:tcBorders>
              <w:top w:val="nil"/>
              <w:left w:val="nil"/>
              <w:bottom w:val="single" w:sz="4" w:space="0" w:color="auto"/>
              <w:right w:val="single" w:sz="4" w:space="0" w:color="auto"/>
            </w:tcBorders>
            <w:shd w:val="clear" w:color="auto" w:fill="auto"/>
            <w:vAlign w:val="bottom"/>
          </w:tcPr>
          <w:p w14:paraId="14634408" w14:textId="6FBB6FD3" w:rsidR="00AC5DC9" w:rsidRDefault="00AC5DC9" w:rsidP="00AC5DC9">
            <w:pPr>
              <w:spacing w:line="276" w:lineRule="auto"/>
              <w:jc w:val="right"/>
              <w:rPr>
                <w:rFonts w:cstheme="minorHAnsi"/>
                <w:lang w:eastAsia="zh-CN"/>
              </w:rPr>
            </w:pPr>
            <w:r>
              <w:rPr>
                <w:rFonts w:ascii="Arial" w:hAnsi="Arial" w:cs="Arial"/>
                <w:color w:val="000000"/>
                <w:sz w:val="22"/>
                <w:szCs w:val="22"/>
              </w:rPr>
              <w:t>7.5%</w:t>
            </w:r>
          </w:p>
        </w:tc>
      </w:tr>
      <w:tr w:rsidR="00AC5DC9" w:rsidRPr="00374C95" w14:paraId="3094D117" w14:textId="77777777" w:rsidTr="00B7344E">
        <w:trPr>
          <w:trHeight w:val="288"/>
        </w:trPr>
        <w:tc>
          <w:tcPr>
            <w:tcW w:w="823" w:type="pct"/>
            <w:shd w:val="clear" w:color="auto" w:fill="auto"/>
            <w:noWrap/>
            <w:vAlign w:val="center"/>
            <w:hideMark/>
          </w:tcPr>
          <w:p w14:paraId="0861BCE7" w14:textId="77777777" w:rsidR="00AC5DC9" w:rsidRPr="00374C95" w:rsidRDefault="00AC5DC9" w:rsidP="00AC5DC9">
            <w:pPr>
              <w:spacing w:line="276" w:lineRule="auto"/>
              <w:jc w:val="both"/>
              <w:rPr>
                <w:rFonts w:cstheme="minorHAnsi"/>
                <w:lang w:eastAsia="zh-CN"/>
              </w:rPr>
            </w:pPr>
            <w:r w:rsidRPr="00374C95">
              <w:rPr>
                <w:rFonts w:cstheme="minorHAnsi"/>
                <w:lang w:eastAsia="zh-CN"/>
              </w:rPr>
              <w:t>65-84</w:t>
            </w:r>
          </w:p>
        </w:tc>
        <w:tc>
          <w:tcPr>
            <w:tcW w:w="1015" w:type="pct"/>
            <w:tcBorders>
              <w:top w:val="nil"/>
              <w:left w:val="single" w:sz="4" w:space="0" w:color="auto"/>
              <w:bottom w:val="single" w:sz="4" w:space="0" w:color="auto"/>
              <w:right w:val="single" w:sz="4" w:space="0" w:color="auto"/>
            </w:tcBorders>
            <w:shd w:val="clear" w:color="auto" w:fill="auto"/>
            <w:noWrap/>
            <w:vAlign w:val="bottom"/>
          </w:tcPr>
          <w:p w14:paraId="2898ACE8" w14:textId="013A06D5" w:rsidR="00AC5DC9" w:rsidRPr="00C342FB" w:rsidRDefault="00AC5DC9" w:rsidP="00AC5DC9">
            <w:pPr>
              <w:spacing w:line="276" w:lineRule="auto"/>
              <w:jc w:val="right"/>
              <w:rPr>
                <w:rFonts w:cstheme="minorHAnsi"/>
                <w:szCs w:val="24"/>
                <w:lang w:eastAsia="zh-CN"/>
              </w:rPr>
            </w:pPr>
            <w:r>
              <w:rPr>
                <w:rFonts w:ascii="Arial" w:hAnsi="Arial" w:cs="Arial"/>
                <w:color w:val="000000"/>
                <w:sz w:val="22"/>
                <w:szCs w:val="22"/>
              </w:rPr>
              <w:t>5652</w:t>
            </w:r>
          </w:p>
        </w:tc>
        <w:tc>
          <w:tcPr>
            <w:tcW w:w="511" w:type="pct"/>
            <w:tcBorders>
              <w:top w:val="nil"/>
              <w:left w:val="nil"/>
              <w:bottom w:val="single" w:sz="4" w:space="0" w:color="auto"/>
              <w:right w:val="single" w:sz="4" w:space="0" w:color="auto"/>
            </w:tcBorders>
            <w:shd w:val="clear" w:color="auto" w:fill="auto"/>
            <w:vAlign w:val="bottom"/>
          </w:tcPr>
          <w:p w14:paraId="042E0299" w14:textId="5E63FB4B" w:rsidR="00AC5DC9" w:rsidRPr="00611D27" w:rsidRDefault="00AC5DC9" w:rsidP="00AC5DC9">
            <w:pPr>
              <w:spacing w:line="276" w:lineRule="auto"/>
              <w:jc w:val="right"/>
              <w:rPr>
                <w:rFonts w:cstheme="minorHAnsi"/>
                <w:szCs w:val="24"/>
                <w:lang w:eastAsia="zh-CN"/>
              </w:rPr>
            </w:pPr>
            <w:r>
              <w:rPr>
                <w:rFonts w:ascii="Arial" w:hAnsi="Arial" w:cs="Arial"/>
                <w:color w:val="000000"/>
                <w:sz w:val="22"/>
                <w:szCs w:val="22"/>
              </w:rPr>
              <w:t>15.3%</w:t>
            </w:r>
          </w:p>
        </w:tc>
        <w:tc>
          <w:tcPr>
            <w:tcW w:w="1525" w:type="pct"/>
            <w:tcBorders>
              <w:top w:val="nil"/>
              <w:left w:val="nil"/>
              <w:bottom w:val="single" w:sz="4" w:space="0" w:color="auto"/>
              <w:right w:val="single" w:sz="4" w:space="0" w:color="auto"/>
            </w:tcBorders>
            <w:shd w:val="clear" w:color="auto" w:fill="auto"/>
            <w:noWrap/>
            <w:vAlign w:val="bottom"/>
          </w:tcPr>
          <w:p w14:paraId="7426518A" w14:textId="3B7A93FD" w:rsidR="00AC5DC9" w:rsidRPr="00934414" w:rsidRDefault="00AC5DC9" w:rsidP="00AC5DC9">
            <w:pPr>
              <w:spacing w:line="276" w:lineRule="auto"/>
              <w:jc w:val="right"/>
              <w:rPr>
                <w:rFonts w:cstheme="minorHAnsi"/>
                <w:lang w:eastAsia="zh-CN"/>
              </w:rPr>
            </w:pPr>
            <w:r>
              <w:rPr>
                <w:rFonts w:ascii="Arial" w:hAnsi="Arial" w:cs="Arial"/>
                <w:color w:val="000000"/>
                <w:sz w:val="22"/>
                <w:szCs w:val="22"/>
              </w:rPr>
              <w:t>6,834</w:t>
            </w:r>
          </w:p>
        </w:tc>
        <w:tc>
          <w:tcPr>
            <w:tcW w:w="563" w:type="pct"/>
            <w:tcBorders>
              <w:top w:val="nil"/>
              <w:left w:val="nil"/>
              <w:bottom w:val="single" w:sz="4" w:space="0" w:color="auto"/>
              <w:right w:val="single" w:sz="4" w:space="0" w:color="auto"/>
            </w:tcBorders>
            <w:shd w:val="clear" w:color="auto" w:fill="auto"/>
            <w:vAlign w:val="bottom"/>
          </w:tcPr>
          <w:p w14:paraId="7D13108B" w14:textId="64289B3B" w:rsidR="00AC5DC9" w:rsidRDefault="00AC5DC9" w:rsidP="00AC5DC9">
            <w:pPr>
              <w:spacing w:line="276" w:lineRule="auto"/>
              <w:jc w:val="right"/>
              <w:rPr>
                <w:rFonts w:cstheme="minorHAnsi"/>
                <w:lang w:eastAsia="zh-CN"/>
              </w:rPr>
            </w:pPr>
            <w:r>
              <w:rPr>
                <w:rFonts w:ascii="Arial" w:hAnsi="Arial" w:cs="Arial"/>
                <w:color w:val="000000"/>
                <w:sz w:val="22"/>
                <w:szCs w:val="22"/>
              </w:rPr>
              <w:t>17.7%</w:t>
            </w:r>
          </w:p>
        </w:tc>
        <w:tc>
          <w:tcPr>
            <w:tcW w:w="563" w:type="pct"/>
            <w:tcBorders>
              <w:top w:val="nil"/>
              <w:left w:val="nil"/>
              <w:bottom w:val="single" w:sz="4" w:space="0" w:color="auto"/>
              <w:right w:val="single" w:sz="4" w:space="0" w:color="auto"/>
            </w:tcBorders>
            <w:shd w:val="clear" w:color="auto" w:fill="auto"/>
            <w:vAlign w:val="bottom"/>
          </w:tcPr>
          <w:p w14:paraId="5F6E969C" w14:textId="7063AE82" w:rsidR="00AC5DC9" w:rsidRDefault="00AC5DC9" w:rsidP="00AC5DC9">
            <w:pPr>
              <w:spacing w:line="276" w:lineRule="auto"/>
              <w:jc w:val="right"/>
              <w:rPr>
                <w:rFonts w:cstheme="minorHAnsi"/>
                <w:lang w:eastAsia="zh-CN"/>
              </w:rPr>
            </w:pPr>
            <w:r>
              <w:rPr>
                <w:rFonts w:ascii="Arial" w:hAnsi="Arial" w:cs="Arial"/>
                <w:color w:val="000000"/>
                <w:sz w:val="22"/>
                <w:szCs w:val="22"/>
              </w:rPr>
              <w:t>20.9%</w:t>
            </w:r>
          </w:p>
        </w:tc>
      </w:tr>
      <w:tr w:rsidR="00AC5DC9" w:rsidRPr="00374C95" w14:paraId="11EFB5F9" w14:textId="77777777" w:rsidTr="00B7344E">
        <w:trPr>
          <w:trHeight w:val="288"/>
        </w:trPr>
        <w:tc>
          <w:tcPr>
            <w:tcW w:w="823" w:type="pct"/>
            <w:shd w:val="clear" w:color="auto" w:fill="auto"/>
            <w:noWrap/>
            <w:vAlign w:val="center"/>
            <w:hideMark/>
          </w:tcPr>
          <w:p w14:paraId="582620D7" w14:textId="77777777" w:rsidR="00AC5DC9" w:rsidRPr="00374C95" w:rsidRDefault="00AC5DC9" w:rsidP="00AC5DC9">
            <w:pPr>
              <w:spacing w:line="276" w:lineRule="auto"/>
              <w:jc w:val="both"/>
              <w:rPr>
                <w:rFonts w:cstheme="minorHAnsi"/>
                <w:lang w:eastAsia="zh-CN"/>
              </w:rPr>
            </w:pPr>
            <w:r w:rsidRPr="00374C95">
              <w:rPr>
                <w:rFonts w:cstheme="minorHAnsi"/>
                <w:lang w:eastAsia="zh-CN"/>
              </w:rPr>
              <w:t>85 and over</w:t>
            </w:r>
          </w:p>
        </w:tc>
        <w:tc>
          <w:tcPr>
            <w:tcW w:w="1015" w:type="pct"/>
            <w:tcBorders>
              <w:top w:val="nil"/>
              <w:left w:val="single" w:sz="4" w:space="0" w:color="auto"/>
              <w:bottom w:val="single" w:sz="4" w:space="0" w:color="auto"/>
              <w:right w:val="single" w:sz="4" w:space="0" w:color="auto"/>
            </w:tcBorders>
            <w:shd w:val="clear" w:color="auto" w:fill="auto"/>
            <w:noWrap/>
            <w:vAlign w:val="bottom"/>
          </w:tcPr>
          <w:p w14:paraId="49C6CEDE" w14:textId="6F6CE023" w:rsidR="00AC5DC9" w:rsidRPr="00C342FB" w:rsidRDefault="00AC5DC9" w:rsidP="00AC5DC9">
            <w:pPr>
              <w:spacing w:line="276" w:lineRule="auto"/>
              <w:jc w:val="right"/>
              <w:rPr>
                <w:rFonts w:cstheme="minorHAnsi"/>
                <w:szCs w:val="24"/>
                <w:lang w:eastAsia="zh-CN"/>
              </w:rPr>
            </w:pPr>
            <w:r>
              <w:rPr>
                <w:rFonts w:ascii="Arial" w:hAnsi="Arial" w:cs="Arial"/>
                <w:color w:val="000000"/>
                <w:sz w:val="22"/>
                <w:szCs w:val="22"/>
              </w:rPr>
              <w:t>892</w:t>
            </w:r>
          </w:p>
        </w:tc>
        <w:tc>
          <w:tcPr>
            <w:tcW w:w="511" w:type="pct"/>
            <w:tcBorders>
              <w:top w:val="nil"/>
              <w:left w:val="nil"/>
              <w:bottom w:val="single" w:sz="4" w:space="0" w:color="auto"/>
              <w:right w:val="single" w:sz="4" w:space="0" w:color="auto"/>
            </w:tcBorders>
            <w:shd w:val="clear" w:color="auto" w:fill="auto"/>
            <w:vAlign w:val="bottom"/>
          </w:tcPr>
          <w:p w14:paraId="6AFAF0AA" w14:textId="220BE420" w:rsidR="00AC5DC9" w:rsidRPr="00611D27" w:rsidRDefault="00AC5DC9" w:rsidP="00AC5DC9">
            <w:pPr>
              <w:spacing w:line="276" w:lineRule="auto"/>
              <w:jc w:val="right"/>
              <w:rPr>
                <w:rFonts w:cstheme="minorHAnsi"/>
                <w:szCs w:val="24"/>
                <w:lang w:eastAsia="zh-CN"/>
              </w:rPr>
            </w:pPr>
            <w:r>
              <w:rPr>
                <w:rFonts w:ascii="Arial" w:hAnsi="Arial" w:cs="Arial"/>
                <w:color w:val="000000"/>
                <w:sz w:val="22"/>
                <w:szCs w:val="22"/>
              </w:rPr>
              <w:t>2.4%</w:t>
            </w:r>
          </w:p>
        </w:tc>
        <w:tc>
          <w:tcPr>
            <w:tcW w:w="1525" w:type="pct"/>
            <w:tcBorders>
              <w:top w:val="nil"/>
              <w:left w:val="nil"/>
              <w:bottom w:val="single" w:sz="4" w:space="0" w:color="auto"/>
              <w:right w:val="single" w:sz="4" w:space="0" w:color="auto"/>
            </w:tcBorders>
            <w:shd w:val="clear" w:color="auto" w:fill="auto"/>
            <w:noWrap/>
            <w:vAlign w:val="bottom"/>
          </w:tcPr>
          <w:p w14:paraId="37EF97AE" w14:textId="2ACCDD24" w:rsidR="00AC5DC9" w:rsidRPr="00934414" w:rsidRDefault="00AC5DC9" w:rsidP="00AC5DC9">
            <w:pPr>
              <w:spacing w:line="276" w:lineRule="auto"/>
              <w:jc w:val="right"/>
              <w:rPr>
                <w:rFonts w:cstheme="minorHAnsi"/>
                <w:lang w:eastAsia="zh-CN"/>
              </w:rPr>
            </w:pPr>
            <w:r>
              <w:rPr>
                <w:rFonts w:ascii="Arial" w:hAnsi="Arial" w:cs="Arial"/>
                <w:color w:val="000000"/>
                <w:sz w:val="22"/>
                <w:szCs w:val="22"/>
              </w:rPr>
              <w:t>951</w:t>
            </w:r>
          </w:p>
        </w:tc>
        <w:tc>
          <w:tcPr>
            <w:tcW w:w="563" w:type="pct"/>
            <w:tcBorders>
              <w:top w:val="nil"/>
              <w:left w:val="nil"/>
              <w:bottom w:val="single" w:sz="4" w:space="0" w:color="auto"/>
              <w:right w:val="single" w:sz="4" w:space="0" w:color="auto"/>
            </w:tcBorders>
            <w:shd w:val="clear" w:color="auto" w:fill="auto"/>
            <w:vAlign w:val="bottom"/>
          </w:tcPr>
          <w:p w14:paraId="7D9AB3AB" w14:textId="60B40ED0" w:rsidR="00AC5DC9" w:rsidRDefault="00AC5DC9" w:rsidP="00AC5DC9">
            <w:pPr>
              <w:spacing w:line="276" w:lineRule="auto"/>
              <w:jc w:val="right"/>
              <w:rPr>
                <w:rFonts w:cstheme="minorHAnsi"/>
                <w:lang w:eastAsia="zh-CN"/>
              </w:rPr>
            </w:pPr>
            <w:r>
              <w:rPr>
                <w:rFonts w:ascii="Arial" w:hAnsi="Arial" w:cs="Arial"/>
                <w:color w:val="000000"/>
                <w:sz w:val="22"/>
                <w:szCs w:val="22"/>
              </w:rPr>
              <w:t>2.5%</w:t>
            </w:r>
          </w:p>
        </w:tc>
        <w:tc>
          <w:tcPr>
            <w:tcW w:w="563" w:type="pct"/>
            <w:tcBorders>
              <w:top w:val="nil"/>
              <w:left w:val="nil"/>
              <w:bottom w:val="single" w:sz="4" w:space="0" w:color="auto"/>
              <w:right w:val="single" w:sz="4" w:space="0" w:color="auto"/>
            </w:tcBorders>
            <w:shd w:val="clear" w:color="auto" w:fill="auto"/>
            <w:vAlign w:val="bottom"/>
          </w:tcPr>
          <w:p w14:paraId="32EB8F93" w14:textId="51D7A137" w:rsidR="00AC5DC9" w:rsidRDefault="00AC5DC9" w:rsidP="00AC5DC9">
            <w:pPr>
              <w:spacing w:line="276" w:lineRule="auto"/>
              <w:jc w:val="right"/>
              <w:rPr>
                <w:rFonts w:cstheme="minorHAnsi"/>
                <w:lang w:eastAsia="zh-CN"/>
              </w:rPr>
            </w:pPr>
            <w:r>
              <w:rPr>
                <w:rFonts w:ascii="Arial" w:hAnsi="Arial" w:cs="Arial"/>
                <w:color w:val="000000"/>
                <w:sz w:val="22"/>
                <w:szCs w:val="22"/>
              </w:rPr>
              <w:t>6.6%</w:t>
            </w:r>
          </w:p>
        </w:tc>
      </w:tr>
      <w:tr w:rsidR="00C3106A" w:rsidRPr="00374C95" w14:paraId="6D5ED38E" w14:textId="77777777" w:rsidTr="00B7344E">
        <w:trPr>
          <w:trHeight w:val="288"/>
        </w:trPr>
        <w:tc>
          <w:tcPr>
            <w:tcW w:w="823" w:type="pct"/>
            <w:shd w:val="clear" w:color="auto" w:fill="auto"/>
            <w:noWrap/>
            <w:vAlign w:val="center"/>
          </w:tcPr>
          <w:p w14:paraId="3424D472" w14:textId="77777777" w:rsidR="00C3106A" w:rsidRPr="00374C95" w:rsidRDefault="00C3106A" w:rsidP="00C3106A">
            <w:pPr>
              <w:spacing w:line="276" w:lineRule="auto"/>
              <w:jc w:val="both"/>
              <w:rPr>
                <w:rFonts w:cstheme="minorHAnsi"/>
                <w:lang w:eastAsia="zh-CN"/>
              </w:rPr>
            </w:pPr>
            <w:r>
              <w:rPr>
                <w:rFonts w:cstheme="minorHAnsi"/>
                <w:lang w:eastAsia="zh-CN"/>
              </w:rPr>
              <w:t>Total</w:t>
            </w:r>
          </w:p>
        </w:tc>
        <w:tc>
          <w:tcPr>
            <w:tcW w:w="1015" w:type="pct"/>
            <w:tcBorders>
              <w:top w:val="nil"/>
              <w:left w:val="single" w:sz="4" w:space="0" w:color="auto"/>
              <w:bottom w:val="single" w:sz="4" w:space="0" w:color="auto"/>
              <w:right w:val="single" w:sz="4" w:space="0" w:color="auto"/>
            </w:tcBorders>
            <w:shd w:val="clear" w:color="auto" w:fill="auto"/>
            <w:noWrap/>
            <w:vAlign w:val="bottom"/>
          </w:tcPr>
          <w:p w14:paraId="03F6DBBB" w14:textId="3F849ED2" w:rsidR="00C3106A" w:rsidRPr="00C342FB" w:rsidRDefault="00C3106A" w:rsidP="00C3106A">
            <w:pPr>
              <w:spacing w:line="276" w:lineRule="auto"/>
              <w:jc w:val="right"/>
              <w:rPr>
                <w:szCs w:val="24"/>
              </w:rPr>
            </w:pPr>
            <w:r>
              <w:rPr>
                <w:rFonts w:ascii="Arial" w:hAnsi="Arial" w:cs="Arial"/>
                <w:color w:val="000000"/>
                <w:sz w:val="22"/>
                <w:szCs w:val="22"/>
              </w:rPr>
              <w:t>37</w:t>
            </w:r>
            <w:r w:rsidR="00DF1175">
              <w:rPr>
                <w:rFonts w:ascii="Arial" w:hAnsi="Arial" w:cs="Arial"/>
                <w:color w:val="000000"/>
                <w:sz w:val="22"/>
                <w:szCs w:val="22"/>
              </w:rPr>
              <w:t>,</w:t>
            </w:r>
            <w:r>
              <w:rPr>
                <w:rFonts w:ascii="Arial" w:hAnsi="Arial" w:cs="Arial"/>
                <w:color w:val="000000"/>
                <w:sz w:val="22"/>
                <w:szCs w:val="22"/>
              </w:rPr>
              <w:t>035</w:t>
            </w:r>
          </w:p>
        </w:tc>
        <w:tc>
          <w:tcPr>
            <w:tcW w:w="511" w:type="pct"/>
            <w:tcBorders>
              <w:top w:val="nil"/>
              <w:left w:val="nil"/>
              <w:bottom w:val="single" w:sz="4" w:space="0" w:color="auto"/>
              <w:right w:val="single" w:sz="4" w:space="0" w:color="auto"/>
            </w:tcBorders>
            <w:shd w:val="clear" w:color="auto" w:fill="auto"/>
            <w:vAlign w:val="bottom"/>
          </w:tcPr>
          <w:p w14:paraId="30583EE5" w14:textId="5309957B" w:rsidR="00C3106A" w:rsidRPr="00C342FB" w:rsidRDefault="00C3106A" w:rsidP="00C3106A">
            <w:pPr>
              <w:spacing w:line="276" w:lineRule="auto"/>
              <w:jc w:val="right"/>
              <w:rPr>
                <w:szCs w:val="24"/>
              </w:rPr>
            </w:pPr>
            <w:r>
              <w:rPr>
                <w:rFonts w:ascii="Arial" w:hAnsi="Arial" w:cs="Arial"/>
                <w:color w:val="000000"/>
                <w:sz w:val="22"/>
                <w:szCs w:val="22"/>
              </w:rPr>
              <w:t>100.0%</w:t>
            </w:r>
          </w:p>
        </w:tc>
        <w:tc>
          <w:tcPr>
            <w:tcW w:w="1525" w:type="pct"/>
            <w:tcBorders>
              <w:top w:val="nil"/>
              <w:left w:val="nil"/>
              <w:bottom w:val="single" w:sz="4" w:space="0" w:color="auto"/>
              <w:right w:val="single" w:sz="4" w:space="0" w:color="auto"/>
            </w:tcBorders>
            <w:shd w:val="clear" w:color="auto" w:fill="auto"/>
            <w:noWrap/>
            <w:vAlign w:val="bottom"/>
          </w:tcPr>
          <w:p w14:paraId="4471A63E" w14:textId="0B6FE2F3" w:rsidR="00C3106A" w:rsidRDefault="00C3106A" w:rsidP="00C3106A">
            <w:pPr>
              <w:spacing w:line="276" w:lineRule="auto"/>
              <w:jc w:val="right"/>
              <w:rPr>
                <w:rFonts w:cstheme="minorHAnsi"/>
                <w:lang w:eastAsia="zh-CN"/>
              </w:rPr>
            </w:pPr>
            <w:r>
              <w:rPr>
                <w:rFonts w:ascii="Arial" w:hAnsi="Arial" w:cs="Arial"/>
                <w:color w:val="000000"/>
                <w:sz w:val="22"/>
                <w:szCs w:val="22"/>
              </w:rPr>
              <w:t>38,525</w:t>
            </w:r>
          </w:p>
        </w:tc>
        <w:tc>
          <w:tcPr>
            <w:tcW w:w="563" w:type="pct"/>
            <w:tcBorders>
              <w:top w:val="nil"/>
              <w:left w:val="nil"/>
              <w:bottom w:val="single" w:sz="4" w:space="0" w:color="auto"/>
              <w:right w:val="single" w:sz="4" w:space="0" w:color="auto"/>
            </w:tcBorders>
            <w:shd w:val="clear" w:color="auto" w:fill="auto"/>
            <w:vAlign w:val="bottom"/>
          </w:tcPr>
          <w:p w14:paraId="57036433" w14:textId="790A5865" w:rsidR="00C3106A" w:rsidRDefault="00C3106A" w:rsidP="00C3106A">
            <w:pPr>
              <w:spacing w:line="276" w:lineRule="auto"/>
              <w:jc w:val="right"/>
              <w:rPr>
                <w:rFonts w:cstheme="minorHAnsi"/>
                <w:lang w:eastAsia="zh-CN"/>
              </w:rPr>
            </w:pPr>
            <w:r>
              <w:rPr>
                <w:rFonts w:ascii="Arial" w:hAnsi="Arial" w:cs="Arial"/>
                <w:color w:val="000000"/>
                <w:sz w:val="22"/>
                <w:szCs w:val="22"/>
              </w:rPr>
              <w:t>100.0%</w:t>
            </w:r>
          </w:p>
        </w:tc>
        <w:tc>
          <w:tcPr>
            <w:tcW w:w="563" w:type="pct"/>
            <w:tcBorders>
              <w:top w:val="nil"/>
              <w:left w:val="nil"/>
              <w:bottom w:val="single" w:sz="4" w:space="0" w:color="auto"/>
              <w:right w:val="single" w:sz="4" w:space="0" w:color="auto"/>
            </w:tcBorders>
            <w:shd w:val="clear" w:color="auto" w:fill="auto"/>
            <w:vAlign w:val="bottom"/>
          </w:tcPr>
          <w:p w14:paraId="3827E3E6" w14:textId="739F0AFA" w:rsidR="00C3106A" w:rsidRDefault="00C3106A" w:rsidP="00C3106A">
            <w:pPr>
              <w:spacing w:line="276" w:lineRule="auto"/>
              <w:jc w:val="right"/>
              <w:rPr>
                <w:rFonts w:cstheme="minorHAnsi"/>
                <w:lang w:eastAsia="zh-CN"/>
              </w:rPr>
            </w:pPr>
            <w:r>
              <w:rPr>
                <w:rFonts w:ascii="Arial" w:hAnsi="Arial" w:cs="Arial"/>
                <w:color w:val="000000"/>
                <w:sz w:val="22"/>
                <w:szCs w:val="22"/>
              </w:rPr>
              <w:t>4.0%</w:t>
            </w:r>
          </w:p>
        </w:tc>
      </w:tr>
    </w:tbl>
    <w:p w14:paraId="69E6E917" w14:textId="77777777" w:rsidR="003B3C47" w:rsidRPr="00C342FB" w:rsidRDefault="003B3C47" w:rsidP="00252C91">
      <w:pPr>
        <w:pStyle w:val="Source"/>
        <w:jc w:val="both"/>
      </w:pPr>
      <w:r w:rsidRPr="00C342FB">
        <w:t xml:space="preserve">Source: ONS 2011, ONS </w:t>
      </w:r>
      <w:r>
        <w:t>2021</w:t>
      </w:r>
      <w:r w:rsidRPr="00C342FB">
        <w:t>, AECOM Calculations</w:t>
      </w:r>
    </w:p>
    <w:p w14:paraId="58429BA8" w14:textId="19AEDF67" w:rsidR="003B3C47" w:rsidRPr="00B6487A" w:rsidRDefault="003B3C47" w:rsidP="00252C91">
      <w:pPr>
        <w:pStyle w:val="Numberedtext"/>
        <w:jc w:val="both"/>
      </w:pPr>
      <w:r w:rsidRPr="00B6487A">
        <w:t xml:space="preserve">For context, it is useful to look at the NA population structure alongside that of the </w:t>
      </w:r>
      <w:r w:rsidR="005835F4" w:rsidRPr="00B6487A">
        <w:t>county</w:t>
      </w:r>
      <w:r w:rsidRPr="00B6487A">
        <w:t xml:space="preserve"> and country. Figure </w:t>
      </w:r>
      <w:r w:rsidR="00B6487A" w:rsidRPr="00B6487A">
        <w:t>5-1</w:t>
      </w:r>
      <w:r w:rsidRPr="00B6487A">
        <w:t xml:space="preserve"> (using 2021 Census data) shows that</w:t>
      </w:r>
      <w:r w:rsidR="00CA1008" w:rsidRPr="00B6487A">
        <w:t xml:space="preserve"> despite the </w:t>
      </w:r>
      <w:r w:rsidR="001D7330" w:rsidRPr="00B6487A">
        <w:t>changes presented above, the Consett population is slightly younger than average across County Durham</w:t>
      </w:r>
      <w:r w:rsidR="003D684F" w:rsidRPr="00B6487A">
        <w:t xml:space="preserve">, with higher proportions of the </w:t>
      </w:r>
      <w:r w:rsidR="00B45250" w:rsidRPr="00B6487A">
        <w:t>NA’s population aged between</w:t>
      </w:r>
      <w:r w:rsidR="005835F4" w:rsidRPr="00B6487A">
        <w:t xml:space="preserve"> 25-44 and 45-64 than is common for the county. Correspondingly, there is a slightly smaller proportion of older people aged 65+ than the aver</w:t>
      </w:r>
      <w:r w:rsidR="0008477B">
        <w:t>age</w:t>
      </w:r>
      <w:r w:rsidR="005835F4" w:rsidRPr="00B6487A">
        <w:t xml:space="preserve"> for County Durham. </w:t>
      </w:r>
    </w:p>
    <w:p w14:paraId="0F44DDE8" w14:textId="5764E89A" w:rsidR="005835F4" w:rsidRPr="00B6487A" w:rsidRDefault="005835F4" w:rsidP="00252C91">
      <w:pPr>
        <w:pStyle w:val="Numberedtext"/>
        <w:jc w:val="both"/>
      </w:pPr>
      <w:r w:rsidRPr="00B6487A">
        <w:t xml:space="preserve">However, </w:t>
      </w:r>
      <w:r w:rsidR="00894FFB" w:rsidRPr="00B6487A">
        <w:t xml:space="preserve">it is likely that the </w:t>
      </w:r>
      <w:r w:rsidR="009A219C" w:rsidRPr="00B6487A">
        <w:t>out-migration trend evidenced in the younger population is likely to be replicated across the whole county</w:t>
      </w:r>
      <w:r w:rsidR="00933BD5" w:rsidRPr="00B6487A">
        <w:t xml:space="preserve">. Consett, being one of the largest towns in the county, </w:t>
      </w:r>
      <w:proofErr w:type="gramStart"/>
      <w:r w:rsidR="00933BD5" w:rsidRPr="00B6487A">
        <w:t xml:space="preserve">is </w:t>
      </w:r>
      <w:r w:rsidR="00D24BEC" w:rsidRPr="00B6487A">
        <w:t>capable of</w:t>
      </w:r>
      <w:r w:rsidR="00933BD5" w:rsidRPr="00B6487A">
        <w:t xml:space="preserve"> </w:t>
      </w:r>
      <w:r w:rsidR="00D24BEC" w:rsidRPr="00B6487A">
        <w:t>retaining</w:t>
      </w:r>
      <w:proofErr w:type="gramEnd"/>
      <w:r w:rsidR="00D24BEC" w:rsidRPr="00B6487A">
        <w:t xml:space="preserve"> a higher number of younger people than other settlements in </w:t>
      </w:r>
      <w:proofErr w:type="gramStart"/>
      <w:r w:rsidR="007B70E9" w:rsidRPr="00B6487A">
        <w:t>county</w:t>
      </w:r>
      <w:proofErr w:type="gramEnd"/>
      <w:r w:rsidR="007B70E9" w:rsidRPr="00B6487A">
        <w:t xml:space="preserve"> and</w:t>
      </w:r>
      <w:r w:rsidR="00D24BEC" w:rsidRPr="00B6487A">
        <w:t xml:space="preserve"> </w:t>
      </w:r>
      <w:r w:rsidR="007B70E9">
        <w:t xml:space="preserve">is </w:t>
      </w:r>
      <w:r w:rsidR="00D24BEC" w:rsidRPr="00B6487A">
        <w:t xml:space="preserve">in turn experiencing </w:t>
      </w:r>
      <w:r w:rsidR="00BF12F7">
        <w:t xml:space="preserve">less </w:t>
      </w:r>
      <w:r w:rsidR="00D24BEC" w:rsidRPr="00B6487A">
        <w:t xml:space="preserve">pronounced </w:t>
      </w:r>
      <w:r w:rsidR="00BD258F" w:rsidRPr="00B6487A">
        <w:t>effect</w:t>
      </w:r>
      <w:r w:rsidR="007B70E9">
        <w:t>s</w:t>
      </w:r>
      <w:r w:rsidR="00BD258F" w:rsidRPr="00B6487A">
        <w:t xml:space="preserve"> of </w:t>
      </w:r>
      <w:r w:rsidR="007B70E9">
        <w:t>a</w:t>
      </w:r>
      <w:r w:rsidR="00BD258F" w:rsidRPr="00B6487A">
        <w:t xml:space="preserve"> wider trend. </w:t>
      </w:r>
    </w:p>
    <w:p w14:paraId="0E5A5007" w14:textId="4A73311D" w:rsidR="003B3C47" w:rsidRPr="00764F1A" w:rsidRDefault="003B3C47" w:rsidP="00252C91">
      <w:pPr>
        <w:pStyle w:val="Caption"/>
        <w:jc w:val="both"/>
        <w:rPr>
          <w:color w:val="auto"/>
        </w:rPr>
      </w:pPr>
      <w:bookmarkStart w:id="132" w:name="_Ref2601251"/>
      <w:r w:rsidRPr="00B6487A">
        <w:rPr>
          <w:color w:val="auto"/>
        </w:rPr>
        <w:t>Fig</w:t>
      </w:r>
      <w:bookmarkEnd w:id="132"/>
      <w:r w:rsidRPr="00B6487A">
        <w:rPr>
          <w:color w:val="auto"/>
        </w:rPr>
        <w:t xml:space="preserve">ure </w:t>
      </w:r>
      <w:r w:rsidR="00B6487A" w:rsidRPr="00B6487A">
        <w:rPr>
          <w:color w:val="auto"/>
        </w:rPr>
        <w:t>5-1</w:t>
      </w:r>
      <w:r w:rsidRPr="00B6487A">
        <w:rPr>
          <w:color w:val="auto"/>
        </w:rPr>
        <w:t xml:space="preserve">: Age structure in </w:t>
      </w:r>
      <w:r w:rsidR="00D143F2" w:rsidRPr="00B6487A">
        <w:rPr>
          <w:color w:val="auto"/>
        </w:rPr>
        <w:t>Consett</w:t>
      </w:r>
      <w:r w:rsidRPr="00B6487A">
        <w:rPr>
          <w:color w:val="auto"/>
        </w:rPr>
        <w:t>, 2021</w:t>
      </w:r>
    </w:p>
    <w:p w14:paraId="39BCE7C6" w14:textId="568A25DA" w:rsidR="003B3C47" w:rsidRPr="00694E86" w:rsidRDefault="00C3106A" w:rsidP="00252C91">
      <w:pPr>
        <w:pStyle w:val="ListNumber"/>
        <w:numPr>
          <w:ilvl w:val="0"/>
          <w:numId w:val="0"/>
        </w:numPr>
        <w:spacing w:line="276" w:lineRule="auto"/>
        <w:jc w:val="both"/>
      </w:pPr>
      <w:r>
        <w:rPr>
          <w:noProof/>
        </w:rPr>
        <w:drawing>
          <wp:inline distT="0" distB="0" distL="0" distR="0" wp14:anchorId="0CDAF13E" wp14:editId="2FA399BB">
            <wp:extent cx="6331789" cy="3407434"/>
            <wp:effectExtent l="0" t="0" r="12065" b="2540"/>
            <wp:docPr id="995427187" name="Chart 1">
              <a:extLst xmlns:a="http://schemas.openxmlformats.org/drawingml/2006/main">
                <a:ext uri="{FF2B5EF4-FFF2-40B4-BE49-F238E27FC236}">
                  <a16:creationId xmlns:a16="http://schemas.microsoft.com/office/drawing/2014/main" id="{6B42CD89-5D16-4B24-AECB-64D5634C6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14587F" w14:textId="77777777" w:rsidR="003B3C47" w:rsidRDefault="003B3C47" w:rsidP="00252C91">
      <w:pPr>
        <w:pStyle w:val="Source"/>
        <w:jc w:val="both"/>
      </w:pPr>
      <w:r w:rsidRPr="00B9437B">
        <w:t>Source: ONS 20</w:t>
      </w:r>
      <w:r>
        <w:t>2</w:t>
      </w:r>
      <w:r w:rsidRPr="00B9437B">
        <w:t>1, AECOM Calculations</w:t>
      </w:r>
    </w:p>
    <w:p w14:paraId="6A93B123" w14:textId="77777777" w:rsidR="003B3C47" w:rsidRPr="002528DC" w:rsidRDefault="003B3C47" w:rsidP="00252C91">
      <w:pPr>
        <w:pStyle w:val="Heading3"/>
        <w:jc w:val="both"/>
        <w:rPr>
          <w:color w:val="auto"/>
          <w:sz w:val="23"/>
          <w:szCs w:val="23"/>
        </w:rPr>
      </w:pPr>
      <w:bookmarkStart w:id="133" w:name="_Toc4428642"/>
      <w:bookmarkStart w:id="134" w:name="_Toc31722663"/>
      <w:bookmarkStart w:id="135" w:name="_Toc102731869"/>
      <w:r w:rsidRPr="002528DC">
        <w:rPr>
          <w:color w:val="auto"/>
        </w:rPr>
        <w:t>Household composition</w:t>
      </w:r>
      <w:bookmarkEnd w:id="133"/>
      <w:bookmarkEnd w:id="134"/>
      <w:bookmarkEnd w:id="135"/>
      <w:r w:rsidRPr="002528DC">
        <w:rPr>
          <w:color w:val="auto"/>
        </w:rPr>
        <w:t xml:space="preserve"> and occupancy</w:t>
      </w:r>
    </w:p>
    <w:p w14:paraId="6ED485C2" w14:textId="0B0C4781" w:rsidR="00FF3D04" w:rsidRDefault="003B3C47" w:rsidP="00252C91">
      <w:pPr>
        <w:pStyle w:val="Numberedtext"/>
        <w:jc w:val="both"/>
      </w:pPr>
      <w:r w:rsidRPr="002528DC">
        <w:t xml:space="preserve">Household composition (the combination and relationships of adults and children in a dwelling) is an important factor in the kinds of housing needed over the </w:t>
      </w:r>
      <w:r w:rsidRPr="002528DC">
        <w:lastRenderedPageBreak/>
        <w:t xml:space="preserve">Neighbourhood Plan period. </w:t>
      </w:r>
      <w:r w:rsidRPr="00F23CD5">
        <w:t xml:space="preserve">Table </w:t>
      </w:r>
      <w:r w:rsidR="00F23CD5" w:rsidRPr="00F23CD5">
        <w:t>5-6</w:t>
      </w:r>
      <w:r w:rsidRPr="00F23CD5">
        <w:t xml:space="preserve"> shows that</w:t>
      </w:r>
      <w:r w:rsidR="00FF3D04" w:rsidRPr="00F23CD5">
        <w:t xml:space="preserve"> Consett</w:t>
      </w:r>
      <w:r w:rsidR="00FF3D04">
        <w:t xml:space="preserve"> has a broadly comparable </w:t>
      </w:r>
      <w:r w:rsidR="0027056A">
        <w:t xml:space="preserve">share of single person and family households when compared to County Durham. </w:t>
      </w:r>
    </w:p>
    <w:p w14:paraId="48F30EFA" w14:textId="529710D9" w:rsidR="003B3C47" w:rsidRPr="002528DC" w:rsidRDefault="00C52075" w:rsidP="00F23CD5">
      <w:pPr>
        <w:pStyle w:val="Numberedtext"/>
        <w:jc w:val="both"/>
      </w:pPr>
      <w:r>
        <w:t xml:space="preserve">When looking at the breakdown </w:t>
      </w:r>
      <w:r w:rsidR="00700767">
        <w:t xml:space="preserve">of how family households are composed, the NA has a notably higher proportion of </w:t>
      </w:r>
      <w:r w:rsidR="00D313C3">
        <w:t>older family households</w:t>
      </w:r>
      <w:r w:rsidR="00EA5654">
        <w:t xml:space="preserve"> aged 66+</w:t>
      </w:r>
      <w:r w:rsidR="00D313C3">
        <w:t xml:space="preserve"> (</w:t>
      </w:r>
      <w:r w:rsidR="00C21D53">
        <w:t>14%</w:t>
      </w:r>
      <w:r w:rsidR="00D313C3">
        <w:t xml:space="preserve">) than is common across the county </w:t>
      </w:r>
      <w:r w:rsidR="00C21D53">
        <w:t>(10%</w:t>
      </w:r>
      <w:r w:rsidR="00BA2FA4">
        <w:t>)</w:t>
      </w:r>
      <w:r w:rsidR="00BA359B">
        <w:t>, it is also worth noting this group experienced significant growth over the last decade (+</w:t>
      </w:r>
      <w:r w:rsidR="00BA3F3D">
        <w:t xml:space="preserve">86%). Consett also has a </w:t>
      </w:r>
      <w:r w:rsidR="00BA2FA4">
        <w:t>slightly higher number of families with younger children (</w:t>
      </w:r>
      <w:r w:rsidR="00BA359B">
        <w:t>26%)</w:t>
      </w:r>
      <w:r w:rsidR="00BA3F3D">
        <w:t xml:space="preserve"> than is common </w:t>
      </w:r>
      <w:r w:rsidR="00F23CD5">
        <w:t xml:space="preserve">across County Durham (24%). </w:t>
      </w:r>
    </w:p>
    <w:p w14:paraId="6B63A98F" w14:textId="2FA0A82F" w:rsidR="003F2C02" w:rsidRPr="00F23CD5" w:rsidRDefault="003B3C47" w:rsidP="00C60545">
      <w:pPr>
        <w:pStyle w:val="Numberedtext"/>
        <w:jc w:val="both"/>
      </w:pPr>
      <w:r w:rsidRPr="002528DC">
        <w:t xml:space="preserve">Note that non-dependent children refer to households in which adult children are living at home, or which students still call their primary residence despite living for most of the year near to university. A marked increase in this category can be taken to indicate the relative unaffordability of entry-level homes, where young people are financially unable to move out and form their own households. It is interesting to observe that this category grew by </w:t>
      </w:r>
      <w:r w:rsidR="00F23CD5">
        <w:t>10</w:t>
      </w:r>
      <w:r w:rsidRPr="00F23CD5">
        <w:t>% between 2011 and 2021 in the NA</w:t>
      </w:r>
      <w:r w:rsidR="00F23CD5" w:rsidRPr="00F23CD5">
        <w:t xml:space="preserve">, which is a faster rate than the county average (+3%). </w:t>
      </w:r>
      <w:r w:rsidRPr="00F23CD5">
        <w:t xml:space="preserve"> </w:t>
      </w:r>
    </w:p>
    <w:p w14:paraId="1C8AC950" w14:textId="1E42D5E5" w:rsidR="003B3C47" w:rsidRPr="002528DC" w:rsidRDefault="003B3C47" w:rsidP="00252C91">
      <w:pPr>
        <w:pStyle w:val="Caption"/>
        <w:jc w:val="both"/>
        <w:rPr>
          <w:color w:val="auto"/>
        </w:rPr>
      </w:pPr>
      <w:bookmarkStart w:id="136" w:name="_Ref2603055"/>
      <w:r w:rsidRPr="00F23CD5">
        <w:rPr>
          <w:color w:val="auto"/>
        </w:rPr>
        <w:t>Tab</w:t>
      </w:r>
      <w:bookmarkEnd w:id="136"/>
      <w:r w:rsidRPr="00F23CD5">
        <w:rPr>
          <w:color w:val="auto"/>
        </w:rPr>
        <w:t xml:space="preserve">le </w:t>
      </w:r>
      <w:r w:rsidR="00F23CD5" w:rsidRPr="00F23CD5">
        <w:rPr>
          <w:color w:val="auto"/>
        </w:rPr>
        <w:t>5-6</w:t>
      </w:r>
      <w:r w:rsidRPr="00F23CD5">
        <w:rPr>
          <w:color w:val="auto"/>
        </w:rPr>
        <w:t xml:space="preserve">: Household composition, </w:t>
      </w:r>
      <w:r w:rsidR="00D143F2" w:rsidRPr="00F23CD5">
        <w:rPr>
          <w:color w:val="auto"/>
        </w:rPr>
        <w:t>Consett</w:t>
      </w:r>
      <w:r w:rsidRPr="00F23CD5">
        <w:rPr>
          <w:color w:val="auto"/>
        </w:rPr>
        <w:t>, 2021</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8"/>
        <w:gridCol w:w="3293"/>
        <w:gridCol w:w="1405"/>
        <w:gridCol w:w="1405"/>
        <w:gridCol w:w="1403"/>
      </w:tblGrid>
      <w:tr w:rsidR="003B3C47" w:rsidRPr="00374C95" w14:paraId="53E1DB55" w14:textId="77777777" w:rsidTr="008D38A3">
        <w:trPr>
          <w:trHeight w:val="288"/>
        </w:trPr>
        <w:tc>
          <w:tcPr>
            <w:tcW w:w="1180" w:type="pct"/>
            <w:tcBorders>
              <w:bottom w:val="single" w:sz="4" w:space="0" w:color="auto"/>
            </w:tcBorders>
            <w:shd w:val="clear" w:color="auto" w:fill="000000" w:themeFill="text1"/>
            <w:noWrap/>
            <w:vAlign w:val="center"/>
            <w:hideMark/>
          </w:tcPr>
          <w:p w14:paraId="1359C760" w14:textId="77777777" w:rsidR="003B3C47" w:rsidRPr="00374C95" w:rsidRDefault="003B3C47" w:rsidP="00252C91">
            <w:pPr>
              <w:spacing w:line="276" w:lineRule="auto"/>
              <w:jc w:val="both"/>
              <w:rPr>
                <w:rFonts w:cstheme="minorHAnsi"/>
                <w:b/>
                <w:color w:val="FFFFFF" w:themeColor="background1"/>
                <w:highlight w:val="yellow"/>
                <w:lang w:eastAsia="zh-CN"/>
              </w:rPr>
            </w:pPr>
            <w:r w:rsidRPr="00374C95">
              <w:rPr>
                <w:rFonts w:cstheme="minorHAnsi"/>
                <w:b/>
                <w:color w:val="FFFFFF" w:themeColor="background1"/>
                <w:lang w:eastAsia="zh-CN"/>
              </w:rPr>
              <w:t>Household composition</w:t>
            </w:r>
          </w:p>
        </w:tc>
        <w:tc>
          <w:tcPr>
            <w:tcW w:w="1676" w:type="pct"/>
            <w:shd w:val="clear" w:color="auto" w:fill="000000" w:themeFill="text1"/>
            <w:noWrap/>
            <w:vAlign w:val="center"/>
            <w:hideMark/>
          </w:tcPr>
          <w:p w14:paraId="76426206" w14:textId="77777777" w:rsidR="003B3C47" w:rsidRPr="00374C95" w:rsidRDefault="003B3C47" w:rsidP="00252C91">
            <w:pPr>
              <w:spacing w:line="276" w:lineRule="auto"/>
              <w:jc w:val="both"/>
              <w:rPr>
                <w:rFonts w:cstheme="minorHAnsi"/>
                <w:color w:val="FFFFFF" w:themeColor="background1"/>
                <w:highlight w:val="yellow"/>
                <w:lang w:eastAsia="zh-CN"/>
              </w:rPr>
            </w:pPr>
          </w:p>
        </w:tc>
        <w:tc>
          <w:tcPr>
            <w:tcW w:w="715" w:type="pct"/>
            <w:shd w:val="clear" w:color="auto" w:fill="000000" w:themeFill="text1"/>
            <w:noWrap/>
            <w:vAlign w:val="center"/>
            <w:hideMark/>
          </w:tcPr>
          <w:p w14:paraId="6BB76A33" w14:textId="2519F442" w:rsidR="003B3C47" w:rsidRPr="00374C95" w:rsidRDefault="00B6487A" w:rsidP="00B50B20">
            <w:pPr>
              <w:spacing w:line="276" w:lineRule="auto"/>
              <w:jc w:val="center"/>
              <w:rPr>
                <w:rFonts w:cstheme="minorHAnsi"/>
                <w:b/>
                <w:bCs/>
                <w:color w:val="FFFFFF" w:themeColor="background1"/>
                <w:lang w:eastAsia="zh-CN"/>
              </w:rPr>
            </w:pPr>
            <w:r>
              <w:rPr>
                <w:rFonts w:cstheme="minorHAnsi"/>
                <w:b/>
                <w:bCs/>
                <w:color w:val="FFFFFF" w:themeColor="background1"/>
                <w:lang w:eastAsia="zh-CN"/>
              </w:rPr>
              <w:t>Consett</w:t>
            </w:r>
          </w:p>
        </w:tc>
        <w:tc>
          <w:tcPr>
            <w:tcW w:w="715" w:type="pct"/>
            <w:shd w:val="clear" w:color="auto" w:fill="000000" w:themeFill="text1"/>
            <w:noWrap/>
            <w:vAlign w:val="center"/>
            <w:hideMark/>
          </w:tcPr>
          <w:p w14:paraId="767227A0" w14:textId="4DBE94F3" w:rsidR="003B3C47" w:rsidRPr="00374C95" w:rsidRDefault="00B6487A" w:rsidP="00B50B20">
            <w:pPr>
              <w:spacing w:line="276" w:lineRule="auto"/>
              <w:jc w:val="center"/>
              <w:rPr>
                <w:rFonts w:cstheme="minorHAnsi"/>
                <w:b/>
                <w:bCs/>
                <w:color w:val="FFFFFF" w:themeColor="background1"/>
                <w:lang w:eastAsia="zh-CN"/>
              </w:rPr>
            </w:pPr>
            <w:r>
              <w:rPr>
                <w:rFonts w:cstheme="minorHAnsi"/>
                <w:b/>
                <w:bCs/>
                <w:color w:val="FFFFFF" w:themeColor="background1"/>
                <w:lang w:eastAsia="zh-CN"/>
              </w:rPr>
              <w:t>County Durham</w:t>
            </w:r>
          </w:p>
        </w:tc>
        <w:tc>
          <w:tcPr>
            <w:tcW w:w="714" w:type="pct"/>
            <w:shd w:val="clear" w:color="auto" w:fill="000000" w:themeFill="text1"/>
            <w:noWrap/>
            <w:vAlign w:val="center"/>
            <w:hideMark/>
          </w:tcPr>
          <w:p w14:paraId="14672422" w14:textId="41162C23" w:rsidR="003B3C47" w:rsidRPr="00374C95" w:rsidRDefault="00B6487A" w:rsidP="00B50B20">
            <w:pPr>
              <w:spacing w:line="276" w:lineRule="auto"/>
              <w:jc w:val="center"/>
              <w:rPr>
                <w:rFonts w:cstheme="minorHAnsi"/>
                <w:b/>
                <w:bCs/>
                <w:color w:val="FFFFFF" w:themeColor="background1"/>
                <w:lang w:eastAsia="zh-CN"/>
              </w:rPr>
            </w:pPr>
            <w:r>
              <w:rPr>
                <w:b/>
                <w:bCs/>
                <w:color w:val="FFFFFF" w:themeColor="background2"/>
              </w:rPr>
              <w:t>England</w:t>
            </w:r>
          </w:p>
        </w:tc>
      </w:tr>
      <w:tr w:rsidR="005554FD" w:rsidRPr="00374C95" w14:paraId="43051AAE" w14:textId="77777777" w:rsidTr="008B17D0">
        <w:trPr>
          <w:trHeight w:val="288"/>
        </w:trPr>
        <w:tc>
          <w:tcPr>
            <w:tcW w:w="1180" w:type="pct"/>
            <w:tcBorders>
              <w:top w:val="single" w:sz="4" w:space="0" w:color="auto"/>
              <w:left w:val="single" w:sz="4" w:space="0" w:color="auto"/>
              <w:bottom w:val="nil"/>
              <w:right w:val="single" w:sz="4" w:space="0" w:color="auto"/>
            </w:tcBorders>
            <w:shd w:val="clear" w:color="auto" w:fill="auto"/>
            <w:noWrap/>
            <w:vAlign w:val="center"/>
            <w:hideMark/>
          </w:tcPr>
          <w:p w14:paraId="1AA82173" w14:textId="77777777" w:rsidR="005554FD" w:rsidRPr="00374C95" w:rsidRDefault="005554FD" w:rsidP="005554FD">
            <w:pPr>
              <w:spacing w:line="276" w:lineRule="auto"/>
              <w:jc w:val="both"/>
              <w:rPr>
                <w:rFonts w:cstheme="minorHAnsi"/>
                <w:b/>
                <w:lang w:eastAsia="zh-CN"/>
              </w:rPr>
            </w:pPr>
            <w:r w:rsidRPr="00374C95">
              <w:rPr>
                <w:rFonts w:cstheme="minorHAnsi"/>
                <w:b/>
                <w:lang w:eastAsia="zh-CN"/>
              </w:rPr>
              <w:t>One person household</w:t>
            </w:r>
          </w:p>
        </w:tc>
        <w:tc>
          <w:tcPr>
            <w:tcW w:w="1676" w:type="pct"/>
            <w:tcBorders>
              <w:left w:val="single" w:sz="4" w:space="0" w:color="auto"/>
            </w:tcBorders>
            <w:shd w:val="clear" w:color="auto" w:fill="auto"/>
            <w:noWrap/>
            <w:vAlign w:val="center"/>
            <w:hideMark/>
          </w:tcPr>
          <w:p w14:paraId="3F17FCE3" w14:textId="77777777" w:rsidR="005554FD" w:rsidRPr="00374C95" w:rsidRDefault="005554FD" w:rsidP="005554FD">
            <w:pPr>
              <w:spacing w:line="276" w:lineRule="auto"/>
              <w:jc w:val="both"/>
              <w:rPr>
                <w:rFonts w:cstheme="minorHAnsi"/>
                <w:b/>
                <w:lang w:eastAsia="zh-CN"/>
              </w:rPr>
            </w:pPr>
            <w:r w:rsidRPr="00374C95">
              <w:rPr>
                <w:rFonts w:cstheme="minorHAnsi"/>
                <w:b/>
                <w:lang w:eastAsia="zh-CN"/>
              </w:rPr>
              <w:t>Total</w:t>
            </w:r>
          </w:p>
        </w:tc>
        <w:tc>
          <w:tcPr>
            <w:tcW w:w="71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4D6E94" w14:textId="068884F7" w:rsidR="005554FD" w:rsidRPr="00374C95" w:rsidRDefault="005554FD" w:rsidP="005554FD">
            <w:pPr>
              <w:spacing w:line="276" w:lineRule="auto"/>
              <w:jc w:val="right"/>
              <w:rPr>
                <w:rFonts w:cstheme="minorHAnsi"/>
                <w:b/>
                <w:highlight w:val="yellow"/>
                <w:lang w:eastAsia="zh-CN"/>
              </w:rPr>
            </w:pPr>
            <w:r>
              <w:rPr>
                <w:rFonts w:ascii="Arial" w:hAnsi="Arial" w:cs="Arial"/>
                <w:color w:val="000000"/>
                <w:sz w:val="22"/>
                <w:szCs w:val="22"/>
              </w:rPr>
              <w:t>33.1%</w:t>
            </w:r>
          </w:p>
        </w:tc>
        <w:tc>
          <w:tcPr>
            <w:tcW w:w="715" w:type="pct"/>
            <w:shd w:val="clear" w:color="auto" w:fill="auto"/>
            <w:noWrap/>
            <w:vAlign w:val="bottom"/>
            <w:hideMark/>
          </w:tcPr>
          <w:p w14:paraId="3397DCA3" w14:textId="41E72B06" w:rsidR="005554FD" w:rsidRPr="00374C95" w:rsidRDefault="005554FD" w:rsidP="005554FD">
            <w:pPr>
              <w:spacing w:line="276" w:lineRule="auto"/>
              <w:jc w:val="right"/>
              <w:rPr>
                <w:rFonts w:cstheme="minorHAnsi"/>
                <w:b/>
                <w:highlight w:val="yellow"/>
                <w:lang w:eastAsia="zh-CN"/>
              </w:rPr>
            </w:pPr>
            <w:r>
              <w:rPr>
                <w:rFonts w:ascii="Arial" w:hAnsi="Arial" w:cs="Arial"/>
                <w:color w:val="000000"/>
                <w:sz w:val="22"/>
                <w:szCs w:val="22"/>
              </w:rPr>
              <w:t>33.9%</w:t>
            </w:r>
          </w:p>
        </w:tc>
        <w:tc>
          <w:tcPr>
            <w:tcW w:w="714" w:type="pct"/>
            <w:shd w:val="clear" w:color="auto" w:fill="auto"/>
            <w:noWrap/>
            <w:vAlign w:val="bottom"/>
            <w:hideMark/>
          </w:tcPr>
          <w:p w14:paraId="63F82DE2" w14:textId="792504F7" w:rsidR="005554FD" w:rsidRPr="00374C95" w:rsidRDefault="005554FD" w:rsidP="005554FD">
            <w:pPr>
              <w:spacing w:line="276" w:lineRule="auto"/>
              <w:jc w:val="right"/>
              <w:rPr>
                <w:rFonts w:cstheme="minorHAnsi"/>
                <w:b/>
                <w:highlight w:val="yellow"/>
                <w:lang w:eastAsia="zh-CN"/>
              </w:rPr>
            </w:pPr>
            <w:r>
              <w:rPr>
                <w:rFonts w:ascii="Arial" w:hAnsi="Arial" w:cs="Arial"/>
                <w:color w:val="000000"/>
                <w:sz w:val="22"/>
                <w:szCs w:val="22"/>
              </w:rPr>
              <w:t>30.1%</w:t>
            </w:r>
          </w:p>
        </w:tc>
      </w:tr>
      <w:tr w:rsidR="005554FD" w:rsidRPr="00374C95" w14:paraId="2ED413DD" w14:textId="77777777" w:rsidTr="008B17D0">
        <w:trPr>
          <w:trHeight w:val="288"/>
        </w:trPr>
        <w:tc>
          <w:tcPr>
            <w:tcW w:w="1180" w:type="pct"/>
            <w:tcBorders>
              <w:top w:val="nil"/>
              <w:left w:val="single" w:sz="4" w:space="0" w:color="auto"/>
              <w:bottom w:val="nil"/>
              <w:right w:val="single" w:sz="4" w:space="0" w:color="auto"/>
            </w:tcBorders>
            <w:shd w:val="clear" w:color="auto" w:fill="auto"/>
            <w:noWrap/>
            <w:vAlign w:val="center"/>
            <w:hideMark/>
          </w:tcPr>
          <w:p w14:paraId="35DD6E69" w14:textId="77777777" w:rsidR="005554FD" w:rsidRPr="00374C95" w:rsidRDefault="005554FD" w:rsidP="005554FD">
            <w:pPr>
              <w:spacing w:line="276" w:lineRule="auto"/>
              <w:jc w:val="both"/>
              <w:rPr>
                <w:rFonts w:cstheme="minorHAnsi"/>
                <w:lang w:eastAsia="zh-CN"/>
              </w:rPr>
            </w:pPr>
          </w:p>
        </w:tc>
        <w:tc>
          <w:tcPr>
            <w:tcW w:w="1676" w:type="pct"/>
            <w:tcBorders>
              <w:left w:val="single" w:sz="4" w:space="0" w:color="auto"/>
            </w:tcBorders>
            <w:shd w:val="clear" w:color="auto" w:fill="auto"/>
            <w:noWrap/>
            <w:vAlign w:val="center"/>
            <w:hideMark/>
          </w:tcPr>
          <w:p w14:paraId="0AE18CE3" w14:textId="77777777" w:rsidR="005554FD" w:rsidRPr="00374C95" w:rsidRDefault="005554FD" w:rsidP="005554FD">
            <w:pPr>
              <w:spacing w:line="276" w:lineRule="auto"/>
              <w:jc w:val="both"/>
              <w:rPr>
                <w:rFonts w:cstheme="minorHAnsi"/>
                <w:lang w:eastAsia="zh-CN"/>
              </w:rPr>
            </w:pPr>
            <w:r w:rsidRPr="00374C95">
              <w:rPr>
                <w:rFonts w:cstheme="minorHAnsi"/>
                <w:lang w:eastAsia="zh-CN"/>
              </w:rPr>
              <w:t>Aged 6</w:t>
            </w:r>
            <w:r>
              <w:rPr>
                <w:rFonts w:cstheme="minorHAnsi"/>
                <w:lang w:eastAsia="zh-CN"/>
              </w:rPr>
              <w:t>6</w:t>
            </w:r>
            <w:r w:rsidRPr="00374C95">
              <w:rPr>
                <w:rFonts w:cstheme="minorHAnsi"/>
                <w:lang w:eastAsia="zh-CN"/>
              </w:rPr>
              <w:t xml:space="preserve"> and over</w:t>
            </w:r>
          </w:p>
        </w:tc>
        <w:tc>
          <w:tcPr>
            <w:tcW w:w="715" w:type="pct"/>
            <w:tcBorders>
              <w:top w:val="nil"/>
              <w:left w:val="single" w:sz="4" w:space="0" w:color="auto"/>
              <w:bottom w:val="single" w:sz="4" w:space="0" w:color="auto"/>
              <w:right w:val="single" w:sz="4" w:space="0" w:color="auto"/>
            </w:tcBorders>
            <w:shd w:val="clear" w:color="000000" w:fill="FFFFFF"/>
            <w:noWrap/>
            <w:vAlign w:val="bottom"/>
            <w:hideMark/>
          </w:tcPr>
          <w:p w14:paraId="09E692AC" w14:textId="4154200F" w:rsidR="005554FD" w:rsidRPr="00374C95" w:rsidRDefault="005554FD" w:rsidP="005554FD">
            <w:pPr>
              <w:spacing w:line="276" w:lineRule="auto"/>
              <w:jc w:val="right"/>
              <w:rPr>
                <w:rFonts w:cstheme="minorHAnsi"/>
                <w:highlight w:val="yellow"/>
                <w:lang w:eastAsia="zh-CN"/>
              </w:rPr>
            </w:pPr>
            <w:r>
              <w:rPr>
                <w:rFonts w:ascii="Arial" w:hAnsi="Arial" w:cs="Arial"/>
                <w:color w:val="000000"/>
                <w:sz w:val="22"/>
                <w:szCs w:val="22"/>
              </w:rPr>
              <w:t>13.9%</w:t>
            </w:r>
          </w:p>
        </w:tc>
        <w:tc>
          <w:tcPr>
            <w:tcW w:w="715" w:type="pct"/>
            <w:shd w:val="clear" w:color="auto" w:fill="auto"/>
            <w:noWrap/>
            <w:vAlign w:val="bottom"/>
            <w:hideMark/>
          </w:tcPr>
          <w:p w14:paraId="6D95786B" w14:textId="42395F4C" w:rsidR="005554FD" w:rsidRPr="00374C95" w:rsidRDefault="005554FD" w:rsidP="005554FD">
            <w:pPr>
              <w:spacing w:line="276" w:lineRule="auto"/>
              <w:jc w:val="right"/>
              <w:rPr>
                <w:rFonts w:cstheme="minorHAnsi"/>
                <w:highlight w:val="yellow"/>
                <w:lang w:eastAsia="zh-CN"/>
              </w:rPr>
            </w:pPr>
            <w:r>
              <w:rPr>
                <w:rFonts w:ascii="Arial" w:hAnsi="Arial" w:cs="Arial"/>
                <w:color w:val="000000"/>
                <w:sz w:val="22"/>
                <w:szCs w:val="22"/>
              </w:rPr>
              <w:t>14.5%</w:t>
            </w:r>
          </w:p>
        </w:tc>
        <w:tc>
          <w:tcPr>
            <w:tcW w:w="714" w:type="pct"/>
            <w:shd w:val="clear" w:color="auto" w:fill="auto"/>
            <w:noWrap/>
            <w:vAlign w:val="bottom"/>
            <w:hideMark/>
          </w:tcPr>
          <w:p w14:paraId="1A3999F5" w14:textId="477669F5" w:rsidR="005554FD" w:rsidRPr="00374C95" w:rsidRDefault="005554FD" w:rsidP="005554FD">
            <w:pPr>
              <w:spacing w:line="276" w:lineRule="auto"/>
              <w:jc w:val="right"/>
              <w:rPr>
                <w:rFonts w:cstheme="minorHAnsi"/>
                <w:highlight w:val="yellow"/>
                <w:lang w:eastAsia="zh-CN"/>
              </w:rPr>
            </w:pPr>
            <w:r>
              <w:rPr>
                <w:rFonts w:ascii="Arial" w:hAnsi="Arial" w:cs="Arial"/>
                <w:color w:val="000000"/>
                <w:sz w:val="22"/>
                <w:szCs w:val="22"/>
              </w:rPr>
              <w:t>12.8%</w:t>
            </w:r>
          </w:p>
        </w:tc>
      </w:tr>
      <w:tr w:rsidR="005554FD" w:rsidRPr="00374C95" w14:paraId="030E1546" w14:textId="77777777" w:rsidTr="008B17D0">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190AC02E" w14:textId="77777777" w:rsidR="005554FD" w:rsidRPr="00374C95" w:rsidRDefault="005554FD" w:rsidP="005554FD">
            <w:pPr>
              <w:spacing w:line="276" w:lineRule="auto"/>
              <w:jc w:val="both"/>
              <w:rPr>
                <w:rFonts w:cstheme="minorHAnsi"/>
                <w:lang w:eastAsia="zh-CN"/>
              </w:rPr>
            </w:pPr>
          </w:p>
        </w:tc>
        <w:tc>
          <w:tcPr>
            <w:tcW w:w="1676" w:type="pct"/>
            <w:tcBorders>
              <w:left w:val="single" w:sz="4" w:space="0" w:color="auto"/>
            </w:tcBorders>
            <w:shd w:val="clear" w:color="auto" w:fill="auto"/>
            <w:noWrap/>
            <w:vAlign w:val="center"/>
            <w:hideMark/>
          </w:tcPr>
          <w:p w14:paraId="4C7B75B5" w14:textId="77777777" w:rsidR="005554FD" w:rsidRPr="00374C95" w:rsidRDefault="005554FD" w:rsidP="005554FD">
            <w:pPr>
              <w:spacing w:line="276" w:lineRule="auto"/>
              <w:jc w:val="both"/>
              <w:rPr>
                <w:rFonts w:cstheme="minorHAnsi"/>
                <w:lang w:eastAsia="zh-CN"/>
              </w:rPr>
            </w:pPr>
            <w:r w:rsidRPr="00374C95">
              <w:rPr>
                <w:rFonts w:cstheme="minorHAnsi"/>
                <w:lang w:eastAsia="zh-CN"/>
              </w:rPr>
              <w:t>Other</w:t>
            </w:r>
          </w:p>
        </w:tc>
        <w:tc>
          <w:tcPr>
            <w:tcW w:w="715" w:type="pct"/>
            <w:tcBorders>
              <w:top w:val="nil"/>
              <w:left w:val="single" w:sz="4" w:space="0" w:color="auto"/>
              <w:bottom w:val="single" w:sz="4" w:space="0" w:color="auto"/>
              <w:right w:val="single" w:sz="4" w:space="0" w:color="auto"/>
            </w:tcBorders>
            <w:shd w:val="clear" w:color="000000" w:fill="FFFFFF"/>
            <w:noWrap/>
            <w:vAlign w:val="bottom"/>
            <w:hideMark/>
          </w:tcPr>
          <w:p w14:paraId="375F8828" w14:textId="7410FC63" w:rsidR="005554FD" w:rsidRPr="00374C95" w:rsidRDefault="005554FD" w:rsidP="005554FD">
            <w:pPr>
              <w:spacing w:line="276" w:lineRule="auto"/>
              <w:jc w:val="right"/>
              <w:rPr>
                <w:rFonts w:cstheme="minorHAnsi"/>
                <w:highlight w:val="yellow"/>
                <w:lang w:eastAsia="zh-CN"/>
              </w:rPr>
            </w:pPr>
            <w:r>
              <w:rPr>
                <w:rFonts w:ascii="Arial" w:hAnsi="Arial" w:cs="Arial"/>
                <w:color w:val="000000"/>
                <w:sz w:val="22"/>
                <w:szCs w:val="22"/>
              </w:rPr>
              <w:t>19.3%</w:t>
            </w:r>
          </w:p>
        </w:tc>
        <w:tc>
          <w:tcPr>
            <w:tcW w:w="715" w:type="pct"/>
            <w:shd w:val="clear" w:color="auto" w:fill="auto"/>
            <w:noWrap/>
            <w:vAlign w:val="bottom"/>
            <w:hideMark/>
          </w:tcPr>
          <w:p w14:paraId="66F7337B" w14:textId="49AAA1F1" w:rsidR="005554FD" w:rsidRPr="00374C95" w:rsidRDefault="005554FD" w:rsidP="005554FD">
            <w:pPr>
              <w:spacing w:line="276" w:lineRule="auto"/>
              <w:jc w:val="right"/>
              <w:rPr>
                <w:rFonts w:cstheme="minorHAnsi"/>
                <w:highlight w:val="yellow"/>
                <w:lang w:eastAsia="zh-CN"/>
              </w:rPr>
            </w:pPr>
            <w:r>
              <w:rPr>
                <w:rFonts w:ascii="Arial" w:hAnsi="Arial" w:cs="Arial"/>
                <w:color w:val="000000"/>
                <w:sz w:val="22"/>
                <w:szCs w:val="22"/>
              </w:rPr>
              <w:t>19.3%</w:t>
            </w:r>
          </w:p>
        </w:tc>
        <w:tc>
          <w:tcPr>
            <w:tcW w:w="714" w:type="pct"/>
            <w:shd w:val="clear" w:color="auto" w:fill="auto"/>
            <w:noWrap/>
            <w:vAlign w:val="bottom"/>
            <w:hideMark/>
          </w:tcPr>
          <w:p w14:paraId="347EE46E" w14:textId="3247B0C4" w:rsidR="005554FD" w:rsidRPr="00374C95" w:rsidRDefault="005554FD" w:rsidP="005554FD">
            <w:pPr>
              <w:spacing w:line="276" w:lineRule="auto"/>
              <w:jc w:val="right"/>
              <w:rPr>
                <w:rFonts w:cstheme="minorHAnsi"/>
                <w:highlight w:val="yellow"/>
                <w:lang w:eastAsia="zh-CN"/>
              </w:rPr>
            </w:pPr>
            <w:r>
              <w:rPr>
                <w:rFonts w:ascii="Arial" w:hAnsi="Arial" w:cs="Arial"/>
                <w:color w:val="000000"/>
                <w:sz w:val="22"/>
                <w:szCs w:val="22"/>
              </w:rPr>
              <w:t>17.3%</w:t>
            </w:r>
          </w:p>
        </w:tc>
      </w:tr>
      <w:tr w:rsidR="005554FD" w:rsidRPr="00374C95" w14:paraId="45FB3131" w14:textId="77777777" w:rsidTr="008B17D0">
        <w:trPr>
          <w:trHeight w:val="288"/>
        </w:trPr>
        <w:tc>
          <w:tcPr>
            <w:tcW w:w="1180" w:type="pct"/>
            <w:tcBorders>
              <w:top w:val="single" w:sz="4" w:space="0" w:color="auto"/>
              <w:left w:val="single" w:sz="4" w:space="0" w:color="auto"/>
              <w:bottom w:val="nil"/>
              <w:right w:val="single" w:sz="4" w:space="0" w:color="auto"/>
            </w:tcBorders>
            <w:shd w:val="clear" w:color="auto" w:fill="auto"/>
            <w:noWrap/>
            <w:vAlign w:val="center"/>
            <w:hideMark/>
          </w:tcPr>
          <w:p w14:paraId="4E52D294" w14:textId="77777777" w:rsidR="005554FD" w:rsidRPr="00374C95" w:rsidRDefault="005554FD" w:rsidP="005554FD">
            <w:pPr>
              <w:spacing w:line="276" w:lineRule="auto"/>
              <w:jc w:val="both"/>
              <w:rPr>
                <w:rFonts w:cstheme="minorHAnsi"/>
                <w:b/>
                <w:lang w:eastAsia="zh-CN"/>
              </w:rPr>
            </w:pPr>
            <w:r w:rsidRPr="00374C95">
              <w:rPr>
                <w:rFonts w:cstheme="minorHAnsi"/>
                <w:b/>
                <w:lang w:eastAsia="zh-CN"/>
              </w:rPr>
              <w:t>One family only</w:t>
            </w:r>
          </w:p>
        </w:tc>
        <w:tc>
          <w:tcPr>
            <w:tcW w:w="1676" w:type="pct"/>
            <w:tcBorders>
              <w:left w:val="single" w:sz="4" w:space="0" w:color="auto"/>
            </w:tcBorders>
            <w:shd w:val="clear" w:color="auto" w:fill="auto"/>
            <w:noWrap/>
            <w:vAlign w:val="center"/>
            <w:hideMark/>
          </w:tcPr>
          <w:p w14:paraId="5A6561CA" w14:textId="77777777" w:rsidR="005554FD" w:rsidRPr="00374C95" w:rsidRDefault="005554FD" w:rsidP="005554FD">
            <w:pPr>
              <w:spacing w:line="276" w:lineRule="auto"/>
              <w:jc w:val="both"/>
              <w:rPr>
                <w:rFonts w:cstheme="minorHAnsi"/>
                <w:b/>
                <w:lang w:eastAsia="zh-CN"/>
              </w:rPr>
            </w:pPr>
            <w:r w:rsidRPr="00374C95">
              <w:rPr>
                <w:rFonts w:cstheme="minorHAnsi"/>
                <w:b/>
                <w:lang w:eastAsia="zh-CN"/>
              </w:rPr>
              <w:t>Total</w:t>
            </w:r>
          </w:p>
        </w:tc>
        <w:tc>
          <w:tcPr>
            <w:tcW w:w="715" w:type="pct"/>
            <w:tcBorders>
              <w:top w:val="nil"/>
              <w:left w:val="single" w:sz="4" w:space="0" w:color="auto"/>
              <w:bottom w:val="single" w:sz="4" w:space="0" w:color="auto"/>
              <w:right w:val="single" w:sz="4" w:space="0" w:color="auto"/>
            </w:tcBorders>
            <w:shd w:val="clear" w:color="000000" w:fill="FFFFFF"/>
            <w:noWrap/>
            <w:vAlign w:val="bottom"/>
            <w:hideMark/>
          </w:tcPr>
          <w:p w14:paraId="7E65740C" w14:textId="45757C05" w:rsidR="005554FD" w:rsidRPr="00374C95" w:rsidRDefault="005554FD" w:rsidP="005554FD">
            <w:pPr>
              <w:spacing w:line="276" w:lineRule="auto"/>
              <w:jc w:val="right"/>
              <w:rPr>
                <w:rFonts w:cstheme="minorHAnsi"/>
                <w:b/>
                <w:highlight w:val="yellow"/>
                <w:lang w:eastAsia="zh-CN"/>
              </w:rPr>
            </w:pPr>
            <w:r>
              <w:rPr>
                <w:rFonts w:ascii="Arial" w:hAnsi="Arial" w:cs="Arial"/>
                <w:color w:val="000000"/>
                <w:sz w:val="22"/>
                <w:szCs w:val="22"/>
              </w:rPr>
              <w:t>63.8%</w:t>
            </w:r>
          </w:p>
        </w:tc>
        <w:tc>
          <w:tcPr>
            <w:tcW w:w="715" w:type="pct"/>
            <w:shd w:val="clear" w:color="auto" w:fill="auto"/>
            <w:noWrap/>
            <w:vAlign w:val="bottom"/>
            <w:hideMark/>
          </w:tcPr>
          <w:p w14:paraId="1521DF42" w14:textId="3179679E" w:rsidR="005554FD" w:rsidRPr="00374C95" w:rsidRDefault="005554FD" w:rsidP="005554FD">
            <w:pPr>
              <w:spacing w:line="276" w:lineRule="auto"/>
              <w:jc w:val="right"/>
              <w:rPr>
                <w:rFonts w:cstheme="minorHAnsi"/>
                <w:b/>
                <w:highlight w:val="yellow"/>
                <w:lang w:eastAsia="zh-CN"/>
              </w:rPr>
            </w:pPr>
            <w:r>
              <w:rPr>
                <w:rFonts w:ascii="Arial" w:hAnsi="Arial" w:cs="Arial"/>
                <w:color w:val="000000"/>
                <w:sz w:val="22"/>
                <w:szCs w:val="22"/>
              </w:rPr>
              <w:t>62.4%</w:t>
            </w:r>
          </w:p>
        </w:tc>
        <w:tc>
          <w:tcPr>
            <w:tcW w:w="714" w:type="pct"/>
            <w:shd w:val="clear" w:color="auto" w:fill="auto"/>
            <w:noWrap/>
            <w:vAlign w:val="bottom"/>
            <w:hideMark/>
          </w:tcPr>
          <w:p w14:paraId="4F7E93DC" w14:textId="33E7952C" w:rsidR="005554FD" w:rsidRPr="00374C95" w:rsidRDefault="005554FD" w:rsidP="005554FD">
            <w:pPr>
              <w:spacing w:line="276" w:lineRule="auto"/>
              <w:jc w:val="right"/>
              <w:rPr>
                <w:rFonts w:cstheme="minorHAnsi"/>
                <w:b/>
                <w:highlight w:val="yellow"/>
                <w:lang w:eastAsia="zh-CN"/>
              </w:rPr>
            </w:pPr>
            <w:r>
              <w:rPr>
                <w:rFonts w:ascii="Arial" w:hAnsi="Arial" w:cs="Arial"/>
                <w:color w:val="000000"/>
                <w:sz w:val="22"/>
                <w:szCs w:val="22"/>
              </w:rPr>
              <w:t>63.1%</w:t>
            </w:r>
          </w:p>
        </w:tc>
      </w:tr>
      <w:tr w:rsidR="005554FD" w:rsidRPr="00374C95" w14:paraId="719933C3" w14:textId="77777777" w:rsidTr="008B17D0">
        <w:trPr>
          <w:trHeight w:val="288"/>
        </w:trPr>
        <w:tc>
          <w:tcPr>
            <w:tcW w:w="1180" w:type="pct"/>
            <w:tcBorders>
              <w:top w:val="nil"/>
              <w:left w:val="single" w:sz="4" w:space="0" w:color="auto"/>
              <w:bottom w:val="nil"/>
              <w:right w:val="single" w:sz="4" w:space="0" w:color="auto"/>
            </w:tcBorders>
            <w:shd w:val="clear" w:color="auto" w:fill="auto"/>
            <w:noWrap/>
            <w:vAlign w:val="center"/>
            <w:hideMark/>
          </w:tcPr>
          <w:p w14:paraId="509B0F93" w14:textId="77777777" w:rsidR="005554FD" w:rsidRPr="00374C95" w:rsidRDefault="005554FD" w:rsidP="005554FD">
            <w:pPr>
              <w:spacing w:line="276" w:lineRule="auto"/>
              <w:jc w:val="both"/>
              <w:rPr>
                <w:rFonts w:cstheme="minorHAnsi"/>
                <w:lang w:eastAsia="zh-CN"/>
              </w:rPr>
            </w:pPr>
          </w:p>
        </w:tc>
        <w:tc>
          <w:tcPr>
            <w:tcW w:w="1676" w:type="pct"/>
            <w:tcBorders>
              <w:left w:val="single" w:sz="4" w:space="0" w:color="auto"/>
            </w:tcBorders>
            <w:shd w:val="clear" w:color="auto" w:fill="auto"/>
            <w:noWrap/>
            <w:vAlign w:val="center"/>
            <w:hideMark/>
          </w:tcPr>
          <w:p w14:paraId="67B14E05" w14:textId="77777777" w:rsidR="005554FD" w:rsidRPr="00374C95" w:rsidRDefault="005554FD" w:rsidP="005554FD">
            <w:pPr>
              <w:spacing w:line="276" w:lineRule="auto"/>
              <w:jc w:val="both"/>
              <w:rPr>
                <w:rFonts w:cstheme="minorHAnsi"/>
                <w:lang w:eastAsia="zh-CN"/>
              </w:rPr>
            </w:pPr>
            <w:r w:rsidRPr="00374C95">
              <w:rPr>
                <w:rFonts w:cstheme="minorHAnsi"/>
                <w:lang w:eastAsia="zh-CN"/>
              </w:rPr>
              <w:t>All aged 6</w:t>
            </w:r>
            <w:r>
              <w:rPr>
                <w:rFonts w:cstheme="minorHAnsi"/>
                <w:lang w:eastAsia="zh-CN"/>
              </w:rPr>
              <w:t>6</w:t>
            </w:r>
            <w:r w:rsidRPr="00374C95">
              <w:rPr>
                <w:rFonts w:cstheme="minorHAnsi"/>
                <w:lang w:eastAsia="zh-CN"/>
              </w:rPr>
              <w:t xml:space="preserve"> and over</w:t>
            </w:r>
          </w:p>
        </w:tc>
        <w:tc>
          <w:tcPr>
            <w:tcW w:w="715" w:type="pct"/>
            <w:tcBorders>
              <w:top w:val="nil"/>
              <w:left w:val="single" w:sz="4" w:space="0" w:color="auto"/>
              <w:bottom w:val="single" w:sz="4" w:space="0" w:color="auto"/>
              <w:right w:val="single" w:sz="4" w:space="0" w:color="auto"/>
            </w:tcBorders>
            <w:shd w:val="clear" w:color="000000" w:fill="FFFFFF"/>
            <w:noWrap/>
            <w:vAlign w:val="bottom"/>
            <w:hideMark/>
          </w:tcPr>
          <w:p w14:paraId="180B0AEF" w14:textId="3E910474" w:rsidR="005554FD" w:rsidRPr="00374C95" w:rsidRDefault="005554FD" w:rsidP="005554FD">
            <w:pPr>
              <w:spacing w:line="276" w:lineRule="auto"/>
              <w:jc w:val="right"/>
              <w:rPr>
                <w:rFonts w:cstheme="minorHAnsi"/>
                <w:highlight w:val="yellow"/>
                <w:lang w:eastAsia="zh-CN"/>
              </w:rPr>
            </w:pPr>
            <w:r>
              <w:rPr>
                <w:rFonts w:ascii="Arial" w:hAnsi="Arial" w:cs="Arial"/>
                <w:color w:val="000000"/>
                <w:sz w:val="22"/>
                <w:szCs w:val="22"/>
              </w:rPr>
              <w:t>13.9%</w:t>
            </w:r>
          </w:p>
        </w:tc>
        <w:tc>
          <w:tcPr>
            <w:tcW w:w="715" w:type="pct"/>
            <w:shd w:val="clear" w:color="auto" w:fill="auto"/>
            <w:noWrap/>
            <w:vAlign w:val="bottom"/>
            <w:hideMark/>
          </w:tcPr>
          <w:p w14:paraId="7AAF22A0" w14:textId="0B95E3EB" w:rsidR="005554FD" w:rsidRPr="00374C95" w:rsidRDefault="005554FD" w:rsidP="005554FD">
            <w:pPr>
              <w:spacing w:line="276" w:lineRule="auto"/>
              <w:jc w:val="right"/>
              <w:rPr>
                <w:rFonts w:cstheme="minorHAnsi"/>
                <w:highlight w:val="yellow"/>
                <w:lang w:eastAsia="zh-CN"/>
              </w:rPr>
            </w:pPr>
            <w:r>
              <w:rPr>
                <w:rFonts w:ascii="Arial" w:hAnsi="Arial" w:cs="Arial"/>
                <w:color w:val="000000"/>
                <w:sz w:val="22"/>
                <w:szCs w:val="22"/>
              </w:rPr>
              <w:t>10.1%</w:t>
            </w:r>
          </w:p>
        </w:tc>
        <w:tc>
          <w:tcPr>
            <w:tcW w:w="714" w:type="pct"/>
            <w:shd w:val="clear" w:color="auto" w:fill="auto"/>
            <w:noWrap/>
            <w:vAlign w:val="bottom"/>
            <w:hideMark/>
          </w:tcPr>
          <w:p w14:paraId="2BD04FFC" w14:textId="37554AF8" w:rsidR="005554FD" w:rsidRPr="00374C95" w:rsidRDefault="005554FD" w:rsidP="005554FD">
            <w:pPr>
              <w:spacing w:line="276" w:lineRule="auto"/>
              <w:jc w:val="right"/>
              <w:rPr>
                <w:rFonts w:cstheme="minorHAnsi"/>
                <w:highlight w:val="yellow"/>
                <w:lang w:eastAsia="zh-CN"/>
              </w:rPr>
            </w:pPr>
            <w:r>
              <w:rPr>
                <w:rFonts w:ascii="Arial" w:hAnsi="Arial" w:cs="Arial"/>
                <w:color w:val="000000"/>
                <w:sz w:val="22"/>
                <w:szCs w:val="22"/>
              </w:rPr>
              <w:t>9.2%</w:t>
            </w:r>
          </w:p>
        </w:tc>
      </w:tr>
      <w:tr w:rsidR="005554FD" w:rsidRPr="00374C95" w14:paraId="539496E9" w14:textId="77777777" w:rsidTr="008B17D0">
        <w:trPr>
          <w:trHeight w:val="288"/>
        </w:trPr>
        <w:tc>
          <w:tcPr>
            <w:tcW w:w="1180" w:type="pct"/>
            <w:tcBorders>
              <w:top w:val="nil"/>
              <w:left w:val="single" w:sz="4" w:space="0" w:color="auto"/>
              <w:bottom w:val="nil"/>
              <w:right w:val="single" w:sz="4" w:space="0" w:color="auto"/>
            </w:tcBorders>
            <w:shd w:val="clear" w:color="auto" w:fill="auto"/>
            <w:noWrap/>
            <w:vAlign w:val="center"/>
            <w:hideMark/>
          </w:tcPr>
          <w:p w14:paraId="1D63A90B" w14:textId="77777777" w:rsidR="005554FD" w:rsidRPr="00374C95" w:rsidRDefault="005554FD" w:rsidP="005554FD">
            <w:pPr>
              <w:spacing w:line="276" w:lineRule="auto"/>
              <w:jc w:val="both"/>
              <w:rPr>
                <w:rFonts w:cstheme="minorHAnsi"/>
                <w:lang w:eastAsia="zh-CN"/>
              </w:rPr>
            </w:pPr>
          </w:p>
        </w:tc>
        <w:tc>
          <w:tcPr>
            <w:tcW w:w="1676" w:type="pct"/>
            <w:tcBorders>
              <w:left w:val="single" w:sz="4" w:space="0" w:color="auto"/>
            </w:tcBorders>
            <w:shd w:val="clear" w:color="auto" w:fill="auto"/>
            <w:noWrap/>
            <w:vAlign w:val="center"/>
            <w:hideMark/>
          </w:tcPr>
          <w:p w14:paraId="1358BF60" w14:textId="77777777" w:rsidR="005554FD" w:rsidRPr="00374C95" w:rsidRDefault="005554FD" w:rsidP="005554FD">
            <w:pPr>
              <w:spacing w:line="276" w:lineRule="auto"/>
              <w:jc w:val="both"/>
              <w:rPr>
                <w:rFonts w:cstheme="minorHAnsi"/>
                <w:lang w:eastAsia="zh-CN"/>
              </w:rPr>
            </w:pPr>
            <w:r w:rsidRPr="00374C95">
              <w:rPr>
                <w:rFonts w:cstheme="minorHAnsi"/>
                <w:lang w:eastAsia="zh-CN"/>
              </w:rPr>
              <w:t>With no children</w:t>
            </w:r>
          </w:p>
        </w:tc>
        <w:tc>
          <w:tcPr>
            <w:tcW w:w="715" w:type="pct"/>
            <w:tcBorders>
              <w:top w:val="nil"/>
              <w:left w:val="single" w:sz="4" w:space="0" w:color="auto"/>
              <w:bottom w:val="single" w:sz="4" w:space="0" w:color="auto"/>
              <w:right w:val="single" w:sz="4" w:space="0" w:color="auto"/>
            </w:tcBorders>
            <w:shd w:val="clear" w:color="000000" w:fill="FFFFFF"/>
            <w:noWrap/>
            <w:vAlign w:val="bottom"/>
            <w:hideMark/>
          </w:tcPr>
          <w:p w14:paraId="4EB27814" w14:textId="1BB1F986" w:rsidR="005554FD" w:rsidRPr="00374C95" w:rsidRDefault="005554FD" w:rsidP="005554FD">
            <w:pPr>
              <w:spacing w:line="276" w:lineRule="auto"/>
              <w:jc w:val="right"/>
              <w:rPr>
                <w:rFonts w:cstheme="minorHAnsi"/>
                <w:highlight w:val="yellow"/>
                <w:lang w:eastAsia="zh-CN"/>
              </w:rPr>
            </w:pPr>
            <w:r>
              <w:rPr>
                <w:rFonts w:ascii="Arial" w:hAnsi="Arial" w:cs="Arial"/>
                <w:color w:val="000000"/>
                <w:sz w:val="22"/>
                <w:szCs w:val="22"/>
              </w:rPr>
              <w:t>17.9%</w:t>
            </w:r>
          </w:p>
        </w:tc>
        <w:tc>
          <w:tcPr>
            <w:tcW w:w="715" w:type="pct"/>
            <w:shd w:val="clear" w:color="auto" w:fill="auto"/>
            <w:noWrap/>
            <w:vAlign w:val="bottom"/>
            <w:hideMark/>
          </w:tcPr>
          <w:p w14:paraId="2FB56591" w14:textId="751E26B9" w:rsidR="005554FD" w:rsidRPr="00374C95" w:rsidRDefault="005554FD" w:rsidP="005554FD">
            <w:pPr>
              <w:spacing w:line="276" w:lineRule="auto"/>
              <w:jc w:val="right"/>
              <w:rPr>
                <w:rFonts w:cstheme="minorHAnsi"/>
                <w:highlight w:val="yellow"/>
                <w:lang w:eastAsia="zh-CN"/>
              </w:rPr>
            </w:pPr>
            <w:r>
              <w:rPr>
                <w:rFonts w:ascii="Arial" w:hAnsi="Arial" w:cs="Arial"/>
                <w:color w:val="000000"/>
                <w:sz w:val="22"/>
                <w:szCs w:val="22"/>
              </w:rPr>
              <w:t>17.7%</w:t>
            </w:r>
          </w:p>
        </w:tc>
        <w:tc>
          <w:tcPr>
            <w:tcW w:w="714" w:type="pct"/>
            <w:shd w:val="clear" w:color="auto" w:fill="auto"/>
            <w:noWrap/>
            <w:vAlign w:val="bottom"/>
            <w:hideMark/>
          </w:tcPr>
          <w:p w14:paraId="5D063E65" w14:textId="11ADC036" w:rsidR="005554FD" w:rsidRPr="00374C95" w:rsidRDefault="005554FD" w:rsidP="005554FD">
            <w:pPr>
              <w:spacing w:line="276" w:lineRule="auto"/>
              <w:jc w:val="right"/>
              <w:rPr>
                <w:rFonts w:cstheme="minorHAnsi"/>
                <w:highlight w:val="yellow"/>
                <w:lang w:eastAsia="zh-CN"/>
              </w:rPr>
            </w:pPr>
            <w:r>
              <w:rPr>
                <w:rFonts w:ascii="Arial" w:hAnsi="Arial" w:cs="Arial"/>
                <w:color w:val="000000"/>
                <w:sz w:val="22"/>
                <w:szCs w:val="22"/>
              </w:rPr>
              <w:t>16.8%</w:t>
            </w:r>
          </w:p>
        </w:tc>
      </w:tr>
      <w:tr w:rsidR="005554FD" w:rsidRPr="00374C95" w14:paraId="7619517B" w14:textId="77777777" w:rsidTr="008B17D0">
        <w:trPr>
          <w:trHeight w:val="288"/>
        </w:trPr>
        <w:tc>
          <w:tcPr>
            <w:tcW w:w="1180" w:type="pct"/>
            <w:tcBorders>
              <w:top w:val="nil"/>
              <w:left w:val="single" w:sz="4" w:space="0" w:color="auto"/>
              <w:bottom w:val="nil"/>
              <w:right w:val="single" w:sz="4" w:space="0" w:color="auto"/>
            </w:tcBorders>
            <w:shd w:val="clear" w:color="auto" w:fill="auto"/>
            <w:noWrap/>
            <w:vAlign w:val="center"/>
            <w:hideMark/>
          </w:tcPr>
          <w:p w14:paraId="066E49E8" w14:textId="77777777" w:rsidR="005554FD" w:rsidRPr="00374C95" w:rsidRDefault="005554FD" w:rsidP="005554FD">
            <w:pPr>
              <w:spacing w:line="276" w:lineRule="auto"/>
              <w:jc w:val="both"/>
              <w:rPr>
                <w:rFonts w:cstheme="minorHAnsi"/>
                <w:lang w:eastAsia="zh-CN"/>
              </w:rPr>
            </w:pPr>
          </w:p>
        </w:tc>
        <w:tc>
          <w:tcPr>
            <w:tcW w:w="1676" w:type="pct"/>
            <w:tcBorders>
              <w:left w:val="single" w:sz="4" w:space="0" w:color="auto"/>
            </w:tcBorders>
            <w:shd w:val="clear" w:color="auto" w:fill="auto"/>
            <w:noWrap/>
            <w:vAlign w:val="center"/>
            <w:hideMark/>
          </w:tcPr>
          <w:p w14:paraId="5015F3EA" w14:textId="77777777" w:rsidR="005554FD" w:rsidRPr="00374C95" w:rsidRDefault="005554FD" w:rsidP="005554FD">
            <w:pPr>
              <w:spacing w:line="276" w:lineRule="auto"/>
              <w:jc w:val="both"/>
              <w:rPr>
                <w:rFonts w:cstheme="minorHAnsi"/>
                <w:lang w:eastAsia="zh-CN"/>
              </w:rPr>
            </w:pPr>
            <w:r w:rsidRPr="00374C95">
              <w:rPr>
                <w:rFonts w:cstheme="minorHAnsi"/>
                <w:lang w:eastAsia="zh-CN"/>
              </w:rPr>
              <w:t>With dependent children</w:t>
            </w:r>
          </w:p>
        </w:tc>
        <w:tc>
          <w:tcPr>
            <w:tcW w:w="715" w:type="pct"/>
            <w:tcBorders>
              <w:top w:val="nil"/>
              <w:left w:val="single" w:sz="4" w:space="0" w:color="auto"/>
              <w:bottom w:val="single" w:sz="4" w:space="0" w:color="auto"/>
              <w:right w:val="single" w:sz="4" w:space="0" w:color="auto"/>
            </w:tcBorders>
            <w:shd w:val="clear" w:color="000000" w:fill="FFFFFF"/>
            <w:noWrap/>
            <w:vAlign w:val="bottom"/>
            <w:hideMark/>
          </w:tcPr>
          <w:p w14:paraId="753B3F68" w14:textId="41F46E65" w:rsidR="005554FD" w:rsidRPr="00374C95" w:rsidRDefault="005554FD" w:rsidP="005554FD">
            <w:pPr>
              <w:spacing w:line="276" w:lineRule="auto"/>
              <w:jc w:val="right"/>
              <w:rPr>
                <w:rFonts w:cstheme="minorHAnsi"/>
                <w:highlight w:val="yellow"/>
                <w:lang w:eastAsia="zh-CN"/>
              </w:rPr>
            </w:pPr>
            <w:r>
              <w:rPr>
                <w:rFonts w:ascii="Arial" w:hAnsi="Arial" w:cs="Arial"/>
                <w:color w:val="000000"/>
                <w:sz w:val="22"/>
                <w:szCs w:val="22"/>
              </w:rPr>
              <w:t>25.5%</w:t>
            </w:r>
          </w:p>
        </w:tc>
        <w:tc>
          <w:tcPr>
            <w:tcW w:w="715" w:type="pct"/>
            <w:shd w:val="clear" w:color="auto" w:fill="auto"/>
            <w:noWrap/>
            <w:vAlign w:val="bottom"/>
            <w:hideMark/>
          </w:tcPr>
          <w:p w14:paraId="7CFC6C18" w14:textId="5299D106" w:rsidR="005554FD" w:rsidRPr="00374C95" w:rsidRDefault="005554FD" w:rsidP="005554FD">
            <w:pPr>
              <w:spacing w:line="276" w:lineRule="auto"/>
              <w:jc w:val="right"/>
              <w:rPr>
                <w:rFonts w:cstheme="minorHAnsi"/>
                <w:highlight w:val="yellow"/>
                <w:lang w:eastAsia="zh-CN"/>
              </w:rPr>
            </w:pPr>
            <w:r>
              <w:rPr>
                <w:rFonts w:ascii="Arial" w:hAnsi="Arial" w:cs="Arial"/>
                <w:color w:val="000000"/>
                <w:sz w:val="22"/>
                <w:szCs w:val="22"/>
              </w:rPr>
              <w:t>23.9%</w:t>
            </w:r>
          </w:p>
        </w:tc>
        <w:tc>
          <w:tcPr>
            <w:tcW w:w="714" w:type="pct"/>
            <w:shd w:val="clear" w:color="auto" w:fill="auto"/>
            <w:noWrap/>
            <w:vAlign w:val="bottom"/>
            <w:hideMark/>
          </w:tcPr>
          <w:p w14:paraId="7ACBC389" w14:textId="517EF76C" w:rsidR="005554FD" w:rsidRPr="00374C95" w:rsidRDefault="005554FD" w:rsidP="005554FD">
            <w:pPr>
              <w:spacing w:line="276" w:lineRule="auto"/>
              <w:jc w:val="right"/>
              <w:rPr>
                <w:rFonts w:cstheme="minorHAnsi"/>
                <w:highlight w:val="yellow"/>
                <w:lang w:eastAsia="zh-CN"/>
              </w:rPr>
            </w:pPr>
            <w:r>
              <w:rPr>
                <w:rFonts w:ascii="Arial" w:hAnsi="Arial" w:cs="Arial"/>
                <w:color w:val="000000"/>
                <w:sz w:val="22"/>
                <w:szCs w:val="22"/>
              </w:rPr>
              <w:t>25.8%</w:t>
            </w:r>
          </w:p>
        </w:tc>
      </w:tr>
      <w:tr w:rsidR="005554FD" w:rsidRPr="00374C95" w14:paraId="35D170D1" w14:textId="77777777" w:rsidTr="008B17D0">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4457DF7C" w14:textId="77777777" w:rsidR="005554FD" w:rsidRPr="00374C95" w:rsidRDefault="005554FD" w:rsidP="005554FD">
            <w:pPr>
              <w:spacing w:line="276" w:lineRule="auto"/>
              <w:jc w:val="both"/>
              <w:rPr>
                <w:rFonts w:cstheme="minorHAnsi"/>
                <w:lang w:eastAsia="zh-CN"/>
              </w:rPr>
            </w:pPr>
          </w:p>
        </w:tc>
        <w:tc>
          <w:tcPr>
            <w:tcW w:w="1676" w:type="pct"/>
            <w:tcBorders>
              <w:left w:val="single" w:sz="4" w:space="0" w:color="auto"/>
            </w:tcBorders>
            <w:shd w:val="clear" w:color="auto" w:fill="auto"/>
            <w:noWrap/>
            <w:vAlign w:val="center"/>
            <w:hideMark/>
          </w:tcPr>
          <w:p w14:paraId="7A255F00" w14:textId="77777777" w:rsidR="005554FD" w:rsidRPr="00374C95" w:rsidRDefault="005554FD" w:rsidP="005554FD">
            <w:pPr>
              <w:spacing w:line="276" w:lineRule="auto"/>
              <w:jc w:val="both"/>
              <w:rPr>
                <w:rFonts w:cstheme="minorHAnsi"/>
                <w:lang w:eastAsia="zh-CN"/>
              </w:rPr>
            </w:pPr>
            <w:r>
              <w:rPr>
                <w:rFonts w:cstheme="minorHAnsi"/>
                <w:lang w:eastAsia="zh-CN"/>
              </w:rPr>
              <w:t>With non-dependent children</w:t>
            </w:r>
            <w:r>
              <w:rPr>
                <w:rStyle w:val="FootnoteReference"/>
                <w:rFonts w:cstheme="minorHAnsi"/>
                <w:lang w:eastAsia="zh-CN"/>
              </w:rPr>
              <w:footnoteReference w:id="10"/>
            </w:r>
          </w:p>
        </w:tc>
        <w:tc>
          <w:tcPr>
            <w:tcW w:w="715" w:type="pct"/>
            <w:tcBorders>
              <w:top w:val="nil"/>
              <w:left w:val="single" w:sz="4" w:space="0" w:color="auto"/>
              <w:bottom w:val="single" w:sz="4" w:space="0" w:color="auto"/>
              <w:right w:val="single" w:sz="4" w:space="0" w:color="auto"/>
            </w:tcBorders>
            <w:shd w:val="clear" w:color="000000" w:fill="FFFFFF"/>
            <w:noWrap/>
            <w:vAlign w:val="bottom"/>
            <w:hideMark/>
          </w:tcPr>
          <w:p w14:paraId="06BA83BB" w14:textId="6E4F607F" w:rsidR="005554FD" w:rsidRPr="00374C95" w:rsidRDefault="005554FD" w:rsidP="005554FD">
            <w:pPr>
              <w:spacing w:line="276" w:lineRule="auto"/>
              <w:jc w:val="right"/>
              <w:rPr>
                <w:rFonts w:cstheme="minorHAnsi"/>
                <w:highlight w:val="yellow"/>
                <w:lang w:eastAsia="zh-CN"/>
              </w:rPr>
            </w:pPr>
            <w:r>
              <w:rPr>
                <w:rFonts w:ascii="Arial" w:hAnsi="Arial" w:cs="Arial"/>
                <w:color w:val="000000"/>
                <w:sz w:val="22"/>
                <w:szCs w:val="22"/>
              </w:rPr>
              <w:t>10.5%</w:t>
            </w:r>
          </w:p>
        </w:tc>
        <w:tc>
          <w:tcPr>
            <w:tcW w:w="715" w:type="pct"/>
            <w:shd w:val="clear" w:color="auto" w:fill="auto"/>
            <w:noWrap/>
            <w:vAlign w:val="bottom"/>
            <w:hideMark/>
          </w:tcPr>
          <w:p w14:paraId="3C5C52CF" w14:textId="28FC4C66" w:rsidR="005554FD" w:rsidRPr="00374C95" w:rsidRDefault="005554FD" w:rsidP="005554FD">
            <w:pPr>
              <w:spacing w:line="276" w:lineRule="auto"/>
              <w:jc w:val="right"/>
              <w:rPr>
                <w:rFonts w:cstheme="minorHAnsi"/>
                <w:highlight w:val="yellow"/>
                <w:lang w:eastAsia="zh-CN"/>
              </w:rPr>
            </w:pPr>
            <w:r>
              <w:rPr>
                <w:rFonts w:ascii="Arial" w:hAnsi="Arial" w:cs="Arial"/>
                <w:color w:val="000000"/>
                <w:sz w:val="22"/>
                <w:szCs w:val="22"/>
              </w:rPr>
              <w:t>10.3%</w:t>
            </w:r>
          </w:p>
        </w:tc>
        <w:tc>
          <w:tcPr>
            <w:tcW w:w="714" w:type="pct"/>
            <w:shd w:val="clear" w:color="auto" w:fill="auto"/>
            <w:noWrap/>
            <w:vAlign w:val="bottom"/>
            <w:hideMark/>
          </w:tcPr>
          <w:p w14:paraId="3CE199AE" w14:textId="4293E352" w:rsidR="005554FD" w:rsidRPr="00374C95" w:rsidRDefault="005554FD" w:rsidP="005554FD">
            <w:pPr>
              <w:spacing w:line="276" w:lineRule="auto"/>
              <w:jc w:val="right"/>
              <w:rPr>
                <w:rFonts w:cstheme="minorHAnsi"/>
                <w:highlight w:val="yellow"/>
                <w:lang w:eastAsia="zh-CN"/>
              </w:rPr>
            </w:pPr>
            <w:r>
              <w:rPr>
                <w:rFonts w:ascii="Arial" w:hAnsi="Arial" w:cs="Arial"/>
                <w:color w:val="000000"/>
                <w:sz w:val="22"/>
                <w:szCs w:val="22"/>
              </w:rPr>
              <w:t>10.5%</w:t>
            </w:r>
          </w:p>
        </w:tc>
      </w:tr>
      <w:tr w:rsidR="005554FD" w:rsidRPr="00374C95" w14:paraId="5B9C7BC5" w14:textId="77777777" w:rsidTr="008B17D0">
        <w:trPr>
          <w:trHeight w:val="288"/>
        </w:trPr>
        <w:tc>
          <w:tcPr>
            <w:tcW w:w="1180" w:type="pct"/>
            <w:tcBorders>
              <w:top w:val="single" w:sz="4" w:space="0" w:color="auto"/>
            </w:tcBorders>
            <w:shd w:val="clear" w:color="auto" w:fill="auto"/>
            <w:noWrap/>
            <w:vAlign w:val="center"/>
            <w:hideMark/>
          </w:tcPr>
          <w:p w14:paraId="3EE1DC24" w14:textId="77777777" w:rsidR="005554FD" w:rsidRPr="00374C95" w:rsidRDefault="005554FD" w:rsidP="005554FD">
            <w:pPr>
              <w:spacing w:line="276" w:lineRule="auto"/>
              <w:jc w:val="both"/>
              <w:rPr>
                <w:rFonts w:cstheme="minorHAnsi"/>
                <w:b/>
                <w:lang w:eastAsia="zh-CN"/>
              </w:rPr>
            </w:pPr>
            <w:r w:rsidRPr="00374C95">
              <w:rPr>
                <w:rFonts w:cstheme="minorHAnsi"/>
                <w:b/>
                <w:lang w:eastAsia="zh-CN"/>
              </w:rPr>
              <w:t>Other household types</w:t>
            </w:r>
          </w:p>
        </w:tc>
        <w:tc>
          <w:tcPr>
            <w:tcW w:w="1676" w:type="pct"/>
            <w:shd w:val="clear" w:color="auto" w:fill="auto"/>
            <w:noWrap/>
            <w:vAlign w:val="center"/>
            <w:hideMark/>
          </w:tcPr>
          <w:p w14:paraId="79C71F3A" w14:textId="77777777" w:rsidR="005554FD" w:rsidRPr="00374C95" w:rsidRDefault="005554FD" w:rsidP="005554FD">
            <w:pPr>
              <w:spacing w:line="276" w:lineRule="auto"/>
              <w:jc w:val="both"/>
              <w:rPr>
                <w:rFonts w:cstheme="minorHAnsi"/>
                <w:b/>
                <w:lang w:eastAsia="zh-CN"/>
              </w:rPr>
            </w:pPr>
            <w:r w:rsidRPr="00374C95">
              <w:rPr>
                <w:rFonts w:cstheme="minorHAnsi"/>
                <w:b/>
                <w:lang w:eastAsia="zh-CN"/>
              </w:rPr>
              <w:t>Total</w:t>
            </w:r>
          </w:p>
        </w:tc>
        <w:tc>
          <w:tcPr>
            <w:tcW w:w="715" w:type="pct"/>
            <w:tcBorders>
              <w:top w:val="nil"/>
              <w:left w:val="single" w:sz="4" w:space="0" w:color="auto"/>
              <w:bottom w:val="single" w:sz="4" w:space="0" w:color="auto"/>
              <w:right w:val="single" w:sz="4" w:space="0" w:color="auto"/>
            </w:tcBorders>
            <w:shd w:val="clear" w:color="000000" w:fill="FFFFFF"/>
            <w:noWrap/>
            <w:vAlign w:val="bottom"/>
            <w:hideMark/>
          </w:tcPr>
          <w:p w14:paraId="6705DF37" w14:textId="08CC7539" w:rsidR="005554FD" w:rsidRPr="00374C95" w:rsidRDefault="005554FD" w:rsidP="005554FD">
            <w:pPr>
              <w:spacing w:line="276" w:lineRule="auto"/>
              <w:jc w:val="right"/>
              <w:rPr>
                <w:rFonts w:cstheme="minorHAnsi"/>
                <w:b/>
                <w:highlight w:val="yellow"/>
                <w:lang w:eastAsia="zh-CN"/>
              </w:rPr>
            </w:pPr>
            <w:r>
              <w:rPr>
                <w:rFonts w:ascii="Arial" w:hAnsi="Arial" w:cs="Arial"/>
                <w:color w:val="000000"/>
                <w:sz w:val="22"/>
                <w:szCs w:val="22"/>
              </w:rPr>
              <w:t>3.1%</w:t>
            </w:r>
          </w:p>
        </w:tc>
        <w:tc>
          <w:tcPr>
            <w:tcW w:w="715" w:type="pct"/>
            <w:shd w:val="clear" w:color="auto" w:fill="auto"/>
            <w:noWrap/>
            <w:vAlign w:val="bottom"/>
            <w:hideMark/>
          </w:tcPr>
          <w:p w14:paraId="67513797" w14:textId="291C59C8" w:rsidR="005554FD" w:rsidRPr="00374C95" w:rsidRDefault="005554FD" w:rsidP="005554FD">
            <w:pPr>
              <w:spacing w:line="276" w:lineRule="auto"/>
              <w:jc w:val="right"/>
              <w:rPr>
                <w:rFonts w:cstheme="minorHAnsi"/>
                <w:b/>
                <w:highlight w:val="yellow"/>
                <w:lang w:eastAsia="zh-CN"/>
              </w:rPr>
            </w:pPr>
            <w:r>
              <w:rPr>
                <w:rFonts w:ascii="Arial" w:hAnsi="Arial" w:cs="Arial"/>
                <w:color w:val="000000"/>
                <w:sz w:val="22"/>
                <w:szCs w:val="22"/>
              </w:rPr>
              <w:t>3.7%</w:t>
            </w:r>
          </w:p>
        </w:tc>
        <w:tc>
          <w:tcPr>
            <w:tcW w:w="714" w:type="pct"/>
            <w:shd w:val="clear" w:color="auto" w:fill="auto"/>
            <w:noWrap/>
            <w:vAlign w:val="bottom"/>
            <w:hideMark/>
          </w:tcPr>
          <w:p w14:paraId="31CE8A4D" w14:textId="6BB51FA6" w:rsidR="005554FD" w:rsidRPr="00374C95" w:rsidRDefault="005554FD" w:rsidP="005554FD">
            <w:pPr>
              <w:spacing w:line="276" w:lineRule="auto"/>
              <w:jc w:val="right"/>
              <w:rPr>
                <w:rFonts w:cstheme="minorHAnsi"/>
                <w:b/>
                <w:highlight w:val="yellow"/>
                <w:lang w:eastAsia="zh-CN"/>
              </w:rPr>
            </w:pPr>
            <w:r>
              <w:rPr>
                <w:rFonts w:ascii="Arial" w:hAnsi="Arial" w:cs="Arial"/>
                <w:color w:val="000000"/>
                <w:sz w:val="22"/>
                <w:szCs w:val="22"/>
              </w:rPr>
              <w:t>6.9%</w:t>
            </w:r>
          </w:p>
        </w:tc>
      </w:tr>
    </w:tbl>
    <w:p w14:paraId="1D451F91" w14:textId="77777777" w:rsidR="003B3C47" w:rsidRPr="00AF5592" w:rsidRDefault="003B3C47" w:rsidP="00252C91">
      <w:pPr>
        <w:pStyle w:val="Source"/>
        <w:jc w:val="both"/>
      </w:pPr>
      <w:r w:rsidRPr="00374C95">
        <w:t xml:space="preserve">Source: </w:t>
      </w:r>
      <w:r w:rsidRPr="00AF5592">
        <w:t>ONS 2021, AECOM Calculations</w:t>
      </w:r>
    </w:p>
    <w:p w14:paraId="7FD8BFD5" w14:textId="77777777" w:rsidR="003B3C47" w:rsidRPr="00AF5592" w:rsidRDefault="003B3C47" w:rsidP="00252C91">
      <w:pPr>
        <w:pStyle w:val="Numberedtext"/>
        <w:jc w:val="both"/>
      </w:pPr>
      <w:bookmarkStart w:id="137" w:name="_Toc527020701"/>
      <w:bookmarkStart w:id="138" w:name="_Toc533017437"/>
      <w:bookmarkStart w:id="139" w:name="_Toc536797449"/>
      <w:bookmarkStart w:id="140" w:name="_Toc4428643"/>
      <w:bookmarkStart w:id="141" w:name="_Toc31722664"/>
      <w:r w:rsidRPr="00AF5592">
        <w:t>The tendency of households to over- or under-occupy their homes is another relevant consideration to the future size needs of the NA. A person is considered to under-occupy their home when there are more bedrooms in their home than a family of their size and composition would normally be expected to need. This is expressed as an occupancy rating of +1 or +2, indicating that there is one surplus bedroom or at least two surplus bedrooms (respectively). Over-occupancy works in the same way, with a rating of -1 indicating at least one bedroom too few.</w:t>
      </w:r>
    </w:p>
    <w:p w14:paraId="7A3CA669" w14:textId="5B06171B" w:rsidR="00F23CD5" w:rsidRPr="00AF5592" w:rsidRDefault="00F23CD5" w:rsidP="00252C91">
      <w:pPr>
        <w:pStyle w:val="Numberedtext"/>
        <w:jc w:val="both"/>
      </w:pPr>
      <w:r w:rsidRPr="00AF5592">
        <w:t>The table shows that the NA’s population is generally well housed, with less than 2</w:t>
      </w:r>
      <w:r w:rsidR="00CE35A9" w:rsidRPr="00AF5592">
        <w:t>% of homes being overcrowded. The data shows that the majority of household in the NA tend to have at least one more bedroom than they would be expected to need (</w:t>
      </w:r>
      <w:r w:rsidR="00D06AA5" w:rsidRPr="00AF5592">
        <w:t>81%)</w:t>
      </w:r>
      <w:r w:rsidR="00B963FC" w:rsidRPr="00AF5592">
        <w:t xml:space="preserve">. </w:t>
      </w:r>
      <w:r w:rsidR="00AF5592" w:rsidRPr="00AF5592">
        <w:t xml:space="preserve">This dynamic appears to be most prevalent in the older population, and in </w:t>
      </w:r>
      <w:r w:rsidR="00AF5592" w:rsidRPr="00AF5592">
        <w:lastRenderedPageBreak/>
        <w:t>families with no children (between 2 and 3%). Despite there being very limited overcrowding in Consett, where homes are overcrowded these tend to be with families with either dependent or adult children.</w:t>
      </w:r>
    </w:p>
    <w:p w14:paraId="0EC38238" w14:textId="77A28469" w:rsidR="003B3C47" w:rsidRPr="002528DC" w:rsidRDefault="003B3C47" w:rsidP="00252C91">
      <w:pPr>
        <w:keepNext/>
        <w:spacing w:after="120" w:line="276" w:lineRule="auto"/>
        <w:jc w:val="both"/>
        <w:rPr>
          <w:rFonts w:asciiTheme="majorHAnsi" w:hAnsiTheme="majorHAnsi"/>
          <w:b/>
          <w:bCs/>
        </w:rPr>
      </w:pPr>
      <w:r w:rsidRPr="00AF5592">
        <w:rPr>
          <w:rFonts w:asciiTheme="majorHAnsi" w:hAnsiTheme="majorHAnsi"/>
          <w:b/>
          <w:bCs/>
        </w:rPr>
        <w:t xml:space="preserve">Table </w:t>
      </w:r>
      <w:r w:rsidR="00AF5592" w:rsidRPr="00AF5592">
        <w:rPr>
          <w:rFonts w:asciiTheme="majorHAnsi" w:hAnsiTheme="majorHAnsi"/>
          <w:b/>
          <w:bCs/>
        </w:rPr>
        <w:t>5-7</w:t>
      </w:r>
      <w:r w:rsidRPr="00AF5592">
        <w:rPr>
          <w:rFonts w:asciiTheme="majorHAnsi" w:hAnsiTheme="majorHAnsi"/>
          <w:b/>
          <w:bCs/>
        </w:rPr>
        <w:t xml:space="preserve">: Occupancy rating by age in </w:t>
      </w:r>
      <w:r w:rsidR="00D143F2" w:rsidRPr="00AF5592">
        <w:rPr>
          <w:rFonts w:asciiTheme="majorHAnsi" w:hAnsiTheme="majorHAnsi"/>
          <w:b/>
          <w:bCs/>
        </w:rPr>
        <w:t>Consett</w:t>
      </w:r>
      <w:r w:rsidRPr="00AF5592">
        <w:rPr>
          <w:rFonts w:asciiTheme="majorHAnsi" w:hAnsiTheme="majorHAnsi"/>
          <w:b/>
          <w:bCs/>
        </w:rPr>
        <w:t>, 2021</w:t>
      </w:r>
      <w:r w:rsidRPr="002528DC">
        <w:rPr>
          <w:rFonts w:asciiTheme="majorHAnsi" w:hAnsiTheme="majorHAnsi"/>
          <w:b/>
          <w:bCs/>
        </w:rPr>
        <w:t xml:space="preserve">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1326"/>
        <w:gridCol w:w="1236"/>
        <w:gridCol w:w="1281"/>
        <w:gridCol w:w="1277"/>
      </w:tblGrid>
      <w:tr w:rsidR="003B3C47" w:rsidRPr="00CA4305" w14:paraId="093640BB" w14:textId="77777777" w:rsidTr="008D38A3">
        <w:trPr>
          <w:trHeight w:val="288"/>
        </w:trPr>
        <w:tc>
          <w:tcPr>
            <w:tcW w:w="2394" w:type="pct"/>
            <w:shd w:val="clear" w:color="auto" w:fill="000000" w:themeFill="text1"/>
            <w:noWrap/>
            <w:vAlign w:val="center"/>
            <w:hideMark/>
          </w:tcPr>
          <w:p w14:paraId="7D6750D8" w14:textId="77777777" w:rsidR="003B3C47" w:rsidRPr="00CA4305" w:rsidRDefault="003B3C47" w:rsidP="00252C91">
            <w:pPr>
              <w:spacing w:line="276" w:lineRule="auto"/>
              <w:jc w:val="both"/>
              <w:rPr>
                <w:rFonts w:cstheme="minorHAnsi"/>
                <w:b/>
                <w:bCs/>
                <w:color w:val="FFFFFF" w:themeColor="background1"/>
                <w:lang w:eastAsia="zh-CN"/>
              </w:rPr>
            </w:pPr>
            <w:r>
              <w:rPr>
                <w:rFonts w:cstheme="minorHAnsi"/>
                <w:b/>
                <w:bCs/>
                <w:color w:val="FFFFFF" w:themeColor="background1"/>
                <w:lang w:eastAsia="zh-CN"/>
              </w:rPr>
              <w:t>Household type</w:t>
            </w:r>
          </w:p>
        </w:tc>
        <w:tc>
          <w:tcPr>
            <w:tcW w:w="675" w:type="pct"/>
            <w:shd w:val="clear" w:color="000000" w:fill="000000"/>
            <w:noWrap/>
            <w:vAlign w:val="center"/>
            <w:hideMark/>
          </w:tcPr>
          <w:p w14:paraId="7F9558A3" w14:textId="77777777" w:rsidR="003B3C47" w:rsidRPr="00CA4305" w:rsidRDefault="003B3C47" w:rsidP="00252C91">
            <w:pPr>
              <w:spacing w:line="276" w:lineRule="auto"/>
              <w:jc w:val="both"/>
              <w:rPr>
                <w:rFonts w:cstheme="minorHAnsi"/>
                <w:b/>
                <w:bCs/>
                <w:color w:val="FFFFFF" w:themeColor="background1"/>
                <w:lang w:eastAsia="zh-CN"/>
              </w:rPr>
            </w:pPr>
            <w:r w:rsidRPr="00CA4305">
              <w:rPr>
                <w:b/>
                <w:bCs/>
                <w:color w:val="FFFFFF"/>
              </w:rPr>
              <w:t>+2 rating</w:t>
            </w:r>
          </w:p>
        </w:tc>
        <w:tc>
          <w:tcPr>
            <w:tcW w:w="629" w:type="pct"/>
            <w:shd w:val="clear" w:color="000000" w:fill="000000"/>
          </w:tcPr>
          <w:p w14:paraId="1F767441" w14:textId="77777777" w:rsidR="003B3C47" w:rsidRPr="00CA4305" w:rsidRDefault="003B3C47" w:rsidP="00252C91">
            <w:pPr>
              <w:spacing w:line="276" w:lineRule="auto"/>
              <w:jc w:val="both"/>
              <w:rPr>
                <w:b/>
                <w:bCs/>
                <w:color w:val="FFFFFF"/>
              </w:rPr>
            </w:pPr>
            <w:r w:rsidRPr="00CA4305">
              <w:rPr>
                <w:b/>
                <w:bCs/>
                <w:color w:val="FFFFFF"/>
              </w:rPr>
              <w:t>+1 rating</w:t>
            </w:r>
          </w:p>
        </w:tc>
        <w:tc>
          <w:tcPr>
            <w:tcW w:w="652" w:type="pct"/>
            <w:shd w:val="clear" w:color="000000" w:fill="000000"/>
            <w:noWrap/>
            <w:vAlign w:val="center"/>
            <w:hideMark/>
          </w:tcPr>
          <w:p w14:paraId="1E56B204" w14:textId="77777777" w:rsidR="003B3C47" w:rsidRPr="00CA4305" w:rsidRDefault="003B3C47" w:rsidP="00252C91">
            <w:pPr>
              <w:spacing w:line="276" w:lineRule="auto"/>
              <w:jc w:val="both"/>
              <w:rPr>
                <w:rFonts w:cstheme="minorHAnsi"/>
                <w:b/>
                <w:bCs/>
                <w:color w:val="FFFFFF" w:themeColor="background1"/>
                <w:lang w:eastAsia="zh-CN"/>
              </w:rPr>
            </w:pPr>
            <w:r w:rsidRPr="00CA4305">
              <w:rPr>
                <w:b/>
                <w:bCs/>
                <w:color w:val="FFFFFF"/>
              </w:rPr>
              <w:t>0 rating</w:t>
            </w:r>
          </w:p>
        </w:tc>
        <w:tc>
          <w:tcPr>
            <w:tcW w:w="650" w:type="pct"/>
            <w:shd w:val="clear" w:color="000000" w:fill="000000"/>
          </w:tcPr>
          <w:p w14:paraId="7EF7F31B" w14:textId="77777777" w:rsidR="003B3C47" w:rsidRPr="00CA4305" w:rsidRDefault="003B3C47" w:rsidP="00252C91">
            <w:pPr>
              <w:spacing w:line="276" w:lineRule="auto"/>
              <w:jc w:val="both"/>
              <w:rPr>
                <w:b/>
                <w:bCs/>
                <w:color w:val="FFFFFF"/>
              </w:rPr>
            </w:pPr>
            <w:r w:rsidRPr="00CA4305">
              <w:rPr>
                <w:b/>
                <w:bCs/>
                <w:color w:val="FFFFFF"/>
              </w:rPr>
              <w:t>-1 rating</w:t>
            </w:r>
          </w:p>
        </w:tc>
      </w:tr>
      <w:tr w:rsidR="005554FD" w:rsidRPr="00CA4305" w14:paraId="51F8BF0A" w14:textId="77777777" w:rsidTr="008D38A3">
        <w:trPr>
          <w:trHeight w:val="288"/>
        </w:trPr>
        <w:tc>
          <w:tcPr>
            <w:tcW w:w="2394" w:type="pct"/>
            <w:shd w:val="clear" w:color="auto" w:fill="auto"/>
            <w:noWrap/>
            <w:vAlign w:val="center"/>
            <w:hideMark/>
          </w:tcPr>
          <w:p w14:paraId="015E0B65" w14:textId="77777777" w:rsidR="005554FD" w:rsidRPr="00CA4305" w:rsidRDefault="005554FD" w:rsidP="005554FD">
            <w:pPr>
              <w:spacing w:line="276" w:lineRule="auto"/>
              <w:jc w:val="both"/>
              <w:rPr>
                <w:rFonts w:cstheme="minorHAnsi"/>
                <w:lang w:eastAsia="zh-CN"/>
              </w:rPr>
            </w:pPr>
            <w:r>
              <w:t>F</w:t>
            </w:r>
            <w:r w:rsidRPr="004224D9">
              <w:t>amily 6</w:t>
            </w:r>
            <w:r>
              <w:t>6</w:t>
            </w:r>
            <w:r w:rsidRPr="004224D9">
              <w:t>+</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E7E3C8" w14:textId="5EEEC0B1" w:rsidR="005554FD" w:rsidRPr="00822101" w:rsidRDefault="005554FD" w:rsidP="005554FD">
            <w:pPr>
              <w:spacing w:line="276" w:lineRule="auto"/>
              <w:jc w:val="right"/>
              <w:rPr>
                <w:rFonts w:cstheme="minorHAnsi"/>
                <w:szCs w:val="24"/>
                <w:lang w:eastAsia="zh-CN"/>
              </w:rPr>
            </w:pPr>
            <w:r>
              <w:rPr>
                <w:rFonts w:ascii="Arial" w:hAnsi="Arial" w:cs="Arial"/>
                <w:color w:val="000000"/>
                <w:sz w:val="22"/>
                <w:szCs w:val="22"/>
              </w:rPr>
              <w:t>62.5%</w:t>
            </w:r>
          </w:p>
        </w:tc>
        <w:tc>
          <w:tcPr>
            <w:tcW w:w="629" w:type="pct"/>
            <w:tcBorders>
              <w:top w:val="single" w:sz="4" w:space="0" w:color="auto"/>
              <w:left w:val="nil"/>
              <w:bottom w:val="single" w:sz="4" w:space="0" w:color="auto"/>
              <w:right w:val="single" w:sz="4" w:space="0" w:color="auto"/>
            </w:tcBorders>
            <w:shd w:val="clear" w:color="auto" w:fill="auto"/>
            <w:vAlign w:val="bottom"/>
          </w:tcPr>
          <w:p w14:paraId="4E1A2B13" w14:textId="60951710" w:rsidR="005554FD" w:rsidRPr="00822101" w:rsidRDefault="005554FD" w:rsidP="005554FD">
            <w:pPr>
              <w:spacing w:line="276" w:lineRule="auto"/>
              <w:jc w:val="right"/>
              <w:rPr>
                <w:rFonts w:cstheme="minorHAnsi"/>
                <w:szCs w:val="24"/>
                <w:lang w:eastAsia="zh-CN"/>
              </w:rPr>
            </w:pPr>
            <w:r>
              <w:rPr>
                <w:rFonts w:ascii="Arial" w:hAnsi="Arial" w:cs="Arial"/>
                <w:color w:val="000000"/>
                <w:sz w:val="22"/>
                <w:szCs w:val="22"/>
              </w:rPr>
              <w:t>35.5%</w:t>
            </w:r>
          </w:p>
        </w:tc>
        <w:tc>
          <w:tcPr>
            <w:tcW w:w="652" w:type="pct"/>
            <w:tcBorders>
              <w:top w:val="single" w:sz="4" w:space="0" w:color="auto"/>
              <w:left w:val="nil"/>
              <w:bottom w:val="single" w:sz="4" w:space="0" w:color="auto"/>
              <w:right w:val="single" w:sz="4" w:space="0" w:color="auto"/>
            </w:tcBorders>
            <w:shd w:val="clear" w:color="auto" w:fill="auto"/>
            <w:noWrap/>
            <w:vAlign w:val="bottom"/>
          </w:tcPr>
          <w:p w14:paraId="5CF35ED1" w14:textId="46EDBDFB" w:rsidR="005554FD" w:rsidRPr="00822101" w:rsidRDefault="005554FD" w:rsidP="005554FD">
            <w:pPr>
              <w:spacing w:line="276" w:lineRule="auto"/>
              <w:jc w:val="right"/>
              <w:rPr>
                <w:rFonts w:cstheme="minorHAnsi"/>
                <w:szCs w:val="24"/>
                <w:lang w:eastAsia="zh-CN"/>
              </w:rPr>
            </w:pPr>
            <w:r>
              <w:rPr>
                <w:rFonts w:ascii="Arial" w:hAnsi="Arial" w:cs="Arial"/>
                <w:color w:val="000000"/>
                <w:sz w:val="22"/>
                <w:szCs w:val="22"/>
              </w:rPr>
              <w:t>2.0%</w:t>
            </w:r>
          </w:p>
        </w:tc>
        <w:tc>
          <w:tcPr>
            <w:tcW w:w="650" w:type="pct"/>
            <w:tcBorders>
              <w:top w:val="single" w:sz="4" w:space="0" w:color="auto"/>
              <w:left w:val="nil"/>
              <w:bottom w:val="single" w:sz="4" w:space="0" w:color="auto"/>
              <w:right w:val="single" w:sz="4" w:space="0" w:color="auto"/>
            </w:tcBorders>
            <w:shd w:val="clear" w:color="auto" w:fill="auto"/>
            <w:vAlign w:val="bottom"/>
          </w:tcPr>
          <w:p w14:paraId="7F895116" w14:textId="33112E69" w:rsidR="005554FD" w:rsidRPr="00822101" w:rsidRDefault="005554FD" w:rsidP="005554FD">
            <w:pPr>
              <w:spacing w:line="276" w:lineRule="auto"/>
              <w:jc w:val="right"/>
              <w:rPr>
                <w:rFonts w:cstheme="minorHAnsi"/>
                <w:szCs w:val="24"/>
                <w:lang w:eastAsia="zh-CN"/>
              </w:rPr>
            </w:pPr>
            <w:r>
              <w:rPr>
                <w:rFonts w:ascii="Arial" w:hAnsi="Arial" w:cs="Arial"/>
                <w:color w:val="000000"/>
                <w:sz w:val="22"/>
                <w:szCs w:val="22"/>
              </w:rPr>
              <w:t>0.0%</w:t>
            </w:r>
          </w:p>
        </w:tc>
      </w:tr>
      <w:tr w:rsidR="005554FD" w:rsidRPr="00CA4305" w14:paraId="1B488D16" w14:textId="77777777" w:rsidTr="008D38A3">
        <w:trPr>
          <w:trHeight w:val="288"/>
        </w:trPr>
        <w:tc>
          <w:tcPr>
            <w:tcW w:w="2394" w:type="pct"/>
            <w:shd w:val="clear" w:color="auto" w:fill="auto"/>
            <w:noWrap/>
            <w:vAlign w:val="center"/>
            <w:hideMark/>
          </w:tcPr>
          <w:p w14:paraId="4EC5BAD3" w14:textId="77777777" w:rsidR="005554FD" w:rsidRPr="00CA4305" w:rsidRDefault="005554FD" w:rsidP="005554FD">
            <w:pPr>
              <w:spacing w:line="276" w:lineRule="auto"/>
              <w:jc w:val="both"/>
              <w:rPr>
                <w:rFonts w:cstheme="minorHAnsi"/>
                <w:lang w:eastAsia="zh-CN"/>
              </w:rPr>
            </w:pPr>
            <w:r>
              <w:t>S</w:t>
            </w:r>
            <w:r w:rsidRPr="004224D9">
              <w:t>ingle person 6</w:t>
            </w:r>
            <w:r>
              <w:t>6</w:t>
            </w:r>
            <w:r w:rsidRPr="004224D9">
              <w:t>+</w:t>
            </w:r>
          </w:p>
        </w:tc>
        <w:tc>
          <w:tcPr>
            <w:tcW w:w="675" w:type="pct"/>
            <w:tcBorders>
              <w:top w:val="nil"/>
              <w:left w:val="single" w:sz="4" w:space="0" w:color="auto"/>
              <w:bottom w:val="single" w:sz="4" w:space="0" w:color="auto"/>
              <w:right w:val="single" w:sz="4" w:space="0" w:color="auto"/>
            </w:tcBorders>
            <w:shd w:val="clear" w:color="auto" w:fill="auto"/>
            <w:noWrap/>
            <w:vAlign w:val="bottom"/>
          </w:tcPr>
          <w:p w14:paraId="129D027A" w14:textId="4CFD6A85" w:rsidR="005554FD" w:rsidRPr="00822101" w:rsidRDefault="005554FD" w:rsidP="005554FD">
            <w:pPr>
              <w:spacing w:line="276" w:lineRule="auto"/>
              <w:jc w:val="right"/>
              <w:rPr>
                <w:rFonts w:cstheme="minorHAnsi"/>
                <w:szCs w:val="24"/>
                <w:lang w:eastAsia="zh-CN"/>
              </w:rPr>
            </w:pPr>
            <w:r>
              <w:rPr>
                <w:rFonts w:ascii="Arial" w:hAnsi="Arial" w:cs="Arial"/>
                <w:color w:val="000000"/>
                <w:sz w:val="22"/>
                <w:szCs w:val="22"/>
              </w:rPr>
              <w:t>41.8%</w:t>
            </w:r>
          </w:p>
        </w:tc>
        <w:tc>
          <w:tcPr>
            <w:tcW w:w="629" w:type="pct"/>
            <w:tcBorders>
              <w:top w:val="nil"/>
              <w:left w:val="nil"/>
              <w:bottom w:val="single" w:sz="4" w:space="0" w:color="auto"/>
              <w:right w:val="single" w:sz="4" w:space="0" w:color="auto"/>
            </w:tcBorders>
            <w:shd w:val="clear" w:color="auto" w:fill="auto"/>
            <w:vAlign w:val="bottom"/>
          </w:tcPr>
          <w:p w14:paraId="2C74C349" w14:textId="738116BA" w:rsidR="005554FD" w:rsidRPr="00822101" w:rsidRDefault="005554FD" w:rsidP="005554FD">
            <w:pPr>
              <w:spacing w:line="276" w:lineRule="auto"/>
              <w:jc w:val="right"/>
              <w:rPr>
                <w:rFonts w:cstheme="minorHAnsi"/>
                <w:szCs w:val="24"/>
                <w:lang w:eastAsia="zh-CN"/>
              </w:rPr>
            </w:pPr>
            <w:r>
              <w:rPr>
                <w:rFonts w:ascii="Arial" w:hAnsi="Arial" w:cs="Arial"/>
                <w:color w:val="000000"/>
                <w:sz w:val="22"/>
                <w:szCs w:val="22"/>
              </w:rPr>
              <w:t>49.0%</w:t>
            </w:r>
          </w:p>
        </w:tc>
        <w:tc>
          <w:tcPr>
            <w:tcW w:w="652" w:type="pct"/>
            <w:tcBorders>
              <w:top w:val="nil"/>
              <w:left w:val="nil"/>
              <w:bottom w:val="single" w:sz="4" w:space="0" w:color="auto"/>
              <w:right w:val="single" w:sz="4" w:space="0" w:color="auto"/>
            </w:tcBorders>
            <w:shd w:val="clear" w:color="auto" w:fill="auto"/>
            <w:noWrap/>
            <w:vAlign w:val="bottom"/>
          </w:tcPr>
          <w:p w14:paraId="16748D81" w14:textId="7042F76F" w:rsidR="005554FD" w:rsidRPr="00822101" w:rsidRDefault="005554FD" w:rsidP="005554FD">
            <w:pPr>
              <w:spacing w:line="276" w:lineRule="auto"/>
              <w:jc w:val="right"/>
              <w:rPr>
                <w:rFonts w:cstheme="minorHAnsi"/>
                <w:szCs w:val="24"/>
                <w:lang w:eastAsia="zh-CN"/>
              </w:rPr>
            </w:pPr>
            <w:r>
              <w:rPr>
                <w:rFonts w:ascii="Arial" w:hAnsi="Arial" w:cs="Arial"/>
                <w:color w:val="000000"/>
                <w:sz w:val="22"/>
                <w:szCs w:val="22"/>
              </w:rPr>
              <w:t>9.2%</w:t>
            </w:r>
          </w:p>
        </w:tc>
        <w:tc>
          <w:tcPr>
            <w:tcW w:w="650" w:type="pct"/>
            <w:tcBorders>
              <w:top w:val="nil"/>
              <w:left w:val="nil"/>
              <w:bottom w:val="single" w:sz="4" w:space="0" w:color="auto"/>
              <w:right w:val="single" w:sz="4" w:space="0" w:color="auto"/>
            </w:tcBorders>
            <w:shd w:val="clear" w:color="auto" w:fill="auto"/>
            <w:vAlign w:val="bottom"/>
          </w:tcPr>
          <w:p w14:paraId="10655A5E" w14:textId="3453AA3E" w:rsidR="005554FD" w:rsidRPr="00822101" w:rsidRDefault="005554FD" w:rsidP="005554FD">
            <w:pPr>
              <w:spacing w:line="276" w:lineRule="auto"/>
              <w:jc w:val="right"/>
              <w:rPr>
                <w:rFonts w:cstheme="minorHAnsi"/>
                <w:szCs w:val="24"/>
                <w:lang w:eastAsia="zh-CN"/>
              </w:rPr>
            </w:pPr>
            <w:r>
              <w:rPr>
                <w:rFonts w:ascii="Arial" w:hAnsi="Arial" w:cs="Arial"/>
                <w:color w:val="000000"/>
                <w:sz w:val="22"/>
                <w:szCs w:val="22"/>
              </w:rPr>
              <w:t>0.0%</w:t>
            </w:r>
          </w:p>
        </w:tc>
      </w:tr>
      <w:tr w:rsidR="005554FD" w:rsidRPr="00CA4305" w14:paraId="68A268BF" w14:textId="77777777" w:rsidTr="008D38A3">
        <w:trPr>
          <w:trHeight w:val="288"/>
        </w:trPr>
        <w:tc>
          <w:tcPr>
            <w:tcW w:w="2394" w:type="pct"/>
            <w:shd w:val="clear" w:color="auto" w:fill="auto"/>
            <w:noWrap/>
            <w:vAlign w:val="center"/>
            <w:hideMark/>
          </w:tcPr>
          <w:p w14:paraId="49593CAA" w14:textId="77777777" w:rsidR="005554FD" w:rsidRPr="00CA4305" w:rsidRDefault="005554FD" w:rsidP="005554FD">
            <w:pPr>
              <w:spacing w:line="276" w:lineRule="auto"/>
              <w:jc w:val="both"/>
              <w:rPr>
                <w:rFonts w:cstheme="minorHAnsi"/>
                <w:lang w:eastAsia="zh-CN"/>
              </w:rPr>
            </w:pPr>
            <w:r w:rsidRPr="004224D9">
              <w:t>Family under 6</w:t>
            </w:r>
            <w:r>
              <w:t>6</w:t>
            </w:r>
            <w:r w:rsidRPr="004224D9">
              <w:t xml:space="preserve"> - no children</w:t>
            </w:r>
          </w:p>
        </w:tc>
        <w:tc>
          <w:tcPr>
            <w:tcW w:w="675" w:type="pct"/>
            <w:tcBorders>
              <w:top w:val="nil"/>
              <w:left w:val="single" w:sz="4" w:space="0" w:color="auto"/>
              <w:bottom w:val="single" w:sz="4" w:space="0" w:color="auto"/>
              <w:right w:val="single" w:sz="4" w:space="0" w:color="auto"/>
            </w:tcBorders>
            <w:shd w:val="clear" w:color="auto" w:fill="auto"/>
            <w:noWrap/>
            <w:vAlign w:val="bottom"/>
          </w:tcPr>
          <w:p w14:paraId="7F791E05" w14:textId="6ADE78E5" w:rsidR="005554FD" w:rsidRPr="00822101" w:rsidRDefault="005554FD" w:rsidP="005554FD">
            <w:pPr>
              <w:spacing w:line="276" w:lineRule="auto"/>
              <w:jc w:val="right"/>
              <w:rPr>
                <w:rFonts w:cstheme="minorHAnsi"/>
                <w:szCs w:val="24"/>
                <w:lang w:eastAsia="zh-CN"/>
              </w:rPr>
            </w:pPr>
            <w:r>
              <w:rPr>
                <w:rFonts w:ascii="Arial" w:hAnsi="Arial" w:cs="Arial"/>
                <w:color w:val="000000"/>
                <w:sz w:val="22"/>
                <w:szCs w:val="22"/>
              </w:rPr>
              <w:t>69.0%</w:t>
            </w:r>
          </w:p>
        </w:tc>
        <w:tc>
          <w:tcPr>
            <w:tcW w:w="629" w:type="pct"/>
            <w:tcBorders>
              <w:top w:val="nil"/>
              <w:left w:val="nil"/>
              <w:bottom w:val="single" w:sz="4" w:space="0" w:color="auto"/>
              <w:right w:val="single" w:sz="4" w:space="0" w:color="auto"/>
            </w:tcBorders>
            <w:shd w:val="clear" w:color="auto" w:fill="auto"/>
            <w:vAlign w:val="bottom"/>
          </w:tcPr>
          <w:p w14:paraId="6481A4F8" w14:textId="2F9C849E" w:rsidR="005554FD" w:rsidRPr="00822101" w:rsidRDefault="005554FD" w:rsidP="005554FD">
            <w:pPr>
              <w:spacing w:line="276" w:lineRule="auto"/>
              <w:jc w:val="right"/>
              <w:rPr>
                <w:rFonts w:cstheme="minorHAnsi"/>
                <w:szCs w:val="24"/>
                <w:lang w:eastAsia="zh-CN"/>
              </w:rPr>
            </w:pPr>
            <w:r>
              <w:rPr>
                <w:rFonts w:ascii="Arial" w:hAnsi="Arial" w:cs="Arial"/>
                <w:color w:val="000000"/>
                <w:sz w:val="22"/>
                <w:szCs w:val="22"/>
              </w:rPr>
              <w:t>29.9%</w:t>
            </w:r>
          </w:p>
        </w:tc>
        <w:tc>
          <w:tcPr>
            <w:tcW w:w="652" w:type="pct"/>
            <w:tcBorders>
              <w:top w:val="nil"/>
              <w:left w:val="nil"/>
              <w:bottom w:val="single" w:sz="4" w:space="0" w:color="auto"/>
              <w:right w:val="single" w:sz="4" w:space="0" w:color="auto"/>
            </w:tcBorders>
            <w:shd w:val="clear" w:color="auto" w:fill="auto"/>
            <w:noWrap/>
            <w:vAlign w:val="bottom"/>
          </w:tcPr>
          <w:p w14:paraId="5CA2A15F" w14:textId="4AEB50CD" w:rsidR="005554FD" w:rsidRPr="00822101" w:rsidRDefault="005554FD" w:rsidP="005554FD">
            <w:pPr>
              <w:spacing w:line="276" w:lineRule="auto"/>
              <w:jc w:val="right"/>
              <w:rPr>
                <w:rFonts w:cstheme="minorHAnsi"/>
                <w:szCs w:val="24"/>
                <w:lang w:eastAsia="zh-CN"/>
              </w:rPr>
            </w:pPr>
            <w:r>
              <w:rPr>
                <w:rFonts w:ascii="Arial" w:hAnsi="Arial" w:cs="Arial"/>
                <w:color w:val="000000"/>
                <w:sz w:val="22"/>
                <w:szCs w:val="22"/>
              </w:rPr>
              <w:t>1.1%</w:t>
            </w:r>
          </w:p>
        </w:tc>
        <w:tc>
          <w:tcPr>
            <w:tcW w:w="650" w:type="pct"/>
            <w:tcBorders>
              <w:top w:val="nil"/>
              <w:left w:val="nil"/>
              <w:bottom w:val="single" w:sz="4" w:space="0" w:color="auto"/>
              <w:right w:val="single" w:sz="4" w:space="0" w:color="auto"/>
            </w:tcBorders>
            <w:shd w:val="clear" w:color="auto" w:fill="auto"/>
            <w:vAlign w:val="bottom"/>
          </w:tcPr>
          <w:p w14:paraId="6615AD33" w14:textId="315BC6DA" w:rsidR="005554FD" w:rsidRPr="00822101" w:rsidRDefault="005554FD" w:rsidP="005554FD">
            <w:pPr>
              <w:spacing w:line="276" w:lineRule="auto"/>
              <w:jc w:val="right"/>
              <w:rPr>
                <w:rFonts w:cstheme="minorHAnsi"/>
                <w:szCs w:val="24"/>
                <w:lang w:eastAsia="zh-CN"/>
              </w:rPr>
            </w:pPr>
            <w:r>
              <w:rPr>
                <w:rFonts w:ascii="Arial" w:hAnsi="Arial" w:cs="Arial"/>
                <w:color w:val="000000"/>
                <w:sz w:val="22"/>
                <w:szCs w:val="22"/>
              </w:rPr>
              <w:t>0.0%</w:t>
            </w:r>
          </w:p>
        </w:tc>
      </w:tr>
      <w:tr w:rsidR="005554FD" w:rsidRPr="00CA4305" w14:paraId="214E1443" w14:textId="77777777" w:rsidTr="008D38A3">
        <w:trPr>
          <w:trHeight w:val="288"/>
        </w:trPr>
        <w:tc>
          <w:tcPr>
            <w:tcW w:w="2394" w:type="pct"/>
            <w:shd w:val="clear" w:color="auto" w:fill="auto"/>
            <w:noWrap/>
            <w:vAlign w:val="center"/>
            <w:hideMark/>
          </w:tcPr>
          <w:p w14:paraId="399964D1" w14:textId="77777777" w:rsidR="005554FD" w:rsidRPr="00CA4305" w:rsidRDefault="005554FD" w:rsidP="005554FD">
            <w:pPr>
              <w:spacing w:line="276" w:lineRule="auto"/>
              <w:jc w:val="both"/>
              <w:rPr>
                <w:rFonts w:cstheme="minorHAnsi"/>
                <w:lang w:eastAsia="zh-CN"/>
              </w:rPr>
            </w:pPr>
            <w:r w:rsidRPr="004224D9">
              <w:t>Family under 6</w:t>
            </w:r>
            <w:r>
              <w:t>6</w:t>
            </w:r>
            <w:r w:rsidRPr="004224D9">
              <w:t xml:space="preserve"> - dependent children</w:t>
            </w:r>
          </w:p>
        </w:tc>
        <w:tc>
          <w:tcPr>
            <w:tcW w:w="675" w:type="pct"/>
            <w:tcBorders>
              <w:top w:val="nil"/>
              <w:left w:val="single" w:sz="4" w:space="0" w:color="auto"/>
              <w:bottom w:val="single" w:sz="4" w:space="0" w:color="auto"/>
              <w:right w:val="single" w:sz="4" w:space="0" w:color="auto"/>
            </w:tcBorders>
            <w:shd w:val="clear" w:color="auto" w:fill="auto"/>
            <w:noWrap/>
            <w:vAlign w:val="bottom"/>
          </w:tcPr>
          <w:p w14:paraId="4CBD8250" w14:textId="77ABFC49" w:rsidR="005554FD" w:rsidRPr="00822101" w:rsidRDefault="005554FD" w:rsidP="005554FD">
            <w:pPr>
              <w:spacing w:line="276" w:lineRule="auto"/>
              <w:jc w:val="right"/>
              <w:rPr>
                <w:rFonts w:cstheme="minorHAnsi"/>
                <w:szCs w:val="24"/>
                <w:lang w:eastAsia="zh-CN"/>
              </w:rPr>
            </w:pPr>
            <w:r>
              <w:rPr>
                <w:rFonts w:ascii="Arial" w:hAnsi="Arial" w:cs="Arial"/>
                <w:color w:val="000000"/>
                <w:sz w:val="22"/>
                <w:szCs w:val="22"/>
              </w:rPr>
              <w:t>16.7%</w:t>
            </w:r>
          </w:p>
        </w:tc>
        <w:tc>
          <w:tcPr>
            <w:tcW w:w="629" w:type="pct"/>
            <w:tcBorders>
              <w:top w:val="nil"/>
              <w:left w:val="nil"/>
              <w:bottom w:val="single" w:sz="4" w:space="0" w:color="auto"/>
              <w:right w:val="single" w:sz="4" w:space="0" w:color="auto"/>
            </w:tcBorders>
            <w:shd w:val="clear" w:color="auto" w:fill="auto"/>
            <w:vAlign w:val="bottom"/>
          </w:tcPr>
          <w:p w14:paraId="1D3D0F7B" w14:textId="712872A0" w:rsidR="005554FD" w:rsidRPr="00822101" w:rsidRDefault="005554FD" w:rsidP="005554FD">
            <w:pPr>
              <w:spacing w:line="276" w:lineRule="auto"/>
              <w:jc w:val="right"/>
              <w:rPr>
                <w:rFonts w:cstheme="minorHAnsi"/>
                <w:szCs w:val="24"/>
                <w:lang w:eastAsia="zh-CN"/>
              </w:rPr>
            </w:pPr>
            <w:r>
              <w:rPr>
                <w:rFonts w:ascii="Arial" w:hAnsi="Arial" w:cs="Arial"/>
                <w:color w:val="000000"/>
                <w:sz w:val="22"/>
                <w:szCs w:val="22"/>
              </w:rPr>
              <w:t>45.2%</w:t>
            </w:r>
          </w:p>
        </w:tc>
        <w:tc>
          <w:tcPr>
            <w:tcW w:w="652" w:type="pct"/>
            <w:tcBorders>
              <w:top w:val="nil"/>
              <w:left w:val="nil"/>
              <w:bottom w:val="single" w:sz="4" w:space="0" w:color="auto"/>
              <w:right w:val="single" w:sz="4" w:space="0" w:color="auto"/>
            </w:tcBorders>
            <w:shd w:val="clear" w:color="auto" w:fill="auto"/>
            <w:noWrap/>
            <w:vAlign w:val="bottom"/>
          </w:tcPr>
          <w:p w14:paraId="4A87A20C" w14:textId="387891B6" w:rsidR="005554FD" w:rsidRPr="00822101" w:rsidRDefault="005554FD" w:rsidP="005554FD">
            <w:pPr>
              <w:spacing w:line="276" w:lineRule="auto"/>
              <w:jc w:val="right"/>
              <w:rPr>
                <w:rFonts w:cstheme="minorHAnsi"/>
                <w:szCs w:val="24"/>
                <w:lang w:eastAsia="zh-CN"/>
              </w:rPr>
            </w:pPr>
            <w:r>
              <w:rPr>
                <w:rFonts w:ascii="Arial" w:hAnsi="Arial" w:cs="Arial"/>
                <w:color w:val="000000"/>
                <w:sz w:val="22"/>
                <w:szCs w:val="22"/>
              </w:rPr>
              <w:t>35.4%</w:t>
            </w:r>
          </w:p>
        </w:tc>
        <w:tc>
          <w:tcPr>
            <w:tcW w:w="650" w:type="pct"/>
            <w:tcBorders>
              <w:top w:val="nil"/>
              <w:left w:val="nil"/>
              <w:bottom w:val="single" w:sz="4" w:space="0" w:color="auto"/>
              <w:right w:val="single" w:sz="4" w:space="0" w:color="auto"/>
            </w:tcBorders>
            <w:shd w:val="clear" w:color="auto" w:fill="auto"/>
            <w:vAlign w:val="bottom"/>
          </w:tcPr>
          <w:p w14:paraId="50608152" w14:textId="77BC31A9" w:rsidR="005554FD" w:rsidRPr="00822101" w:rsidRDefault="005554FD" w:rsidP="005554FD">
            <w:pPr>
              <w:spacing w:line="276" w:lineRule="auto"/>
              <w:jc w:val="right"/>
              <w:rPr>
                <w:rFonts w:cstheme="minorHAnsi"/>
                <w:szCs w:val="24"/>
                <w:lang w:eastAsia="zh-CN"/>
              </w:rPr>
            </w:pPr>
            <w:r>
              <w:rPr>
                <w:rFonts w:ascii="Arial" w:hAnsi="Arial" w:cs="Arial"/>
                <w:color w:val="000000"/>
                <w:sz w:val="22"/>
                <w:szCs w:val="22"/>
              </w:rPr>
              <w:t>2.7%</w:t>
            </w:r>
          </w:p>
        </w:tc>
      </w:tr>
      <w:tr w:rsidR="005554FD" w:rsidRPr="00CA4305" w14:paraId="63D5906F" w14:textId="77777777" w:rsidTr="008D38A3">
        <w:trPr>
          <w:trHeight w:val="288"/>
        </w:trPr>
        <w:tc>
          <w:tcPr>
            <w:tcW w:w="2394" w:type="pct"/>
            <w:shd w:val="clear" w:color="auto" w:fill="auto"/>
            <w:noWrap/>
            <w:vAlign w:val="center"/>
          </w:tcPr>
          <w:p w14:paraId="4B6C1047" w14:textId="77777777" w:rsidR="005554FD" w:rsidRPr="00CA4305" w:rsidRDefault="005554FD" w:rsidP="005554FD">
            <w:pPr>
              <w:spacing w:line="276" w:lineRule="auto"/>
              <w:jc w:val="both"/>
              <w:rPr>
                <w:rFonts w:cstheme="minorHAnsi"/>
                <w:lang w:eastAsia="zh-CN"/>
              </w:rPr>
            </w:pPr>
            <w:r w:rsidRPr="004224D9">
              <w:t>Family under 6</w:t>
            </w:r>
            <w:r>
              <w:t>6</w:t>
            </w:r>
            <w:r w:rsidRPr="004224D9">
              <w:t xml:space="preserve"> - adult children</w:t>
            </w:r>
          </w:p>
        </w:tc>
        <w:tc>
          <w:tcPr>
            <w:tcW w:w="675" w:type="pct"/>
            <w:tcBorders>
              <w:top w:val="nil"/>
              <w:left w:val="single" w:sz="4" w:space="0" w:color="auto"/>
              <w:bottom w:val="single" w:sz="4" w:space="0" w:color="auto"/>
              <w:right w:val="single" w:sz="4" w:space="0" w:color="auto"/>
            </w:tcBorders>
            <w:shd w:val="clear" w:color="auto" w:fill="auto"/>
            <w:noWrap/>
            <w:vAlign w:val="bottom"/>
          </w:tcPr>
          <w:p w14:paraId="0BB947A4" w14:textId="2B73B232" w:rsidR="005554FD" w:rsidRPr="00822101" w:rsidRDefault="005554FD" w:rsidP="005554FD">
            <w:pPr>
              <w:spacing w:line="276" w:lineRule="auto"/>
              <w:jc w:val="right"/>
              <w:rPr>
                <w:rFonts w:cstheme="minorHAnsi"/>
                <w:szCs w:val="24"/>
                <w:lang w:eastAsia="zh-CN"/>
              </w:rPr>
            </w:pPr>
            <w:r>
              <w:rPr>
                <w:rFonts w:ascii="Arial" w:hAnsi="Arial" w:cs="Arial"/>
                <w:color w:val="000000"/>
                <w:sz w:val="22"/>
                <w:szCs w:val="22"/>
              </w:rPr>
              <w:t>16.8%</w:t>
            </w:r>
          </w:p>
        </w:tc>
        <w:tc>
          <w:tcPr>
            <w:tcW w:w="629" w:type="pct"/>
            <w:tcBorders>
              <w:top w:val="nil"/>
              <w:left w:val="nil"/>
              <w:bottom w:val="single" w:sz="4" w:space="0" w:color="auto"/>
              <w:right w:val="single" w:sz="4" w:space="0" w:color="auto"/>
            </w:tcBorders>
            <w:shd w:val="clear" w:color="auto" w:fill="auto"/>
            <w:vAlign w:val="bottom"/>
          </w:tcPr>
          <w:p w14:paraId="5DFE1BDE" w14:textId="47CE0B11" w:rsidR="005554FD" w:rsidRPr="00822101" w:rsidRDefault="005554FD" w:rsidP="005554FD">
            <w:pPr>
              <w:spacing w:line="276" w:lineRule="auto"/>
              <w:jc w:val="right"/>
              <w:rPr>
                <w:rFonts w:cstheme="minorHAnsi"/>
                <w:szCs w:val="24"/>
                <w:lang w:eastAsia="zh-CN"/>
              </w:rPr>
            </w:pPr>
            <w:r>
              <w:rPr>
                <w:rFonts w:ascii="Arial" w:hAnsi="Arial" w:cs="Arial"/>
                <w:color w:val="000000"/>
                <w:sz w:val="22"/>
                <w:szCs w:val="22"/>
              </w:rPr>
              <w:t>51.0%</w:t>
            </w:r>
          </w:p>
        </w:tc>
        <w:tc>
          <w:tcPr>
            <w:tcW w:w="652" w:type="pct"/>
            <w:tcBorders>
              <w:top w:val="nil"/>
              <w:left w:val="nil"/>
              <w:bottom w:val="single" w:sz="4" w:space="0" w:color="auto"/>
              <w:right w:val="single" w:sz="4" w:space="0" w:color="auto"/>
            </w:tcBorders>
            <w:shd w:val="clear" w:color="auto" w:fill="auto"/>
            <w:noWrap/>
            <w:vAlign w:val="bottom"/>
          </w:tcPr>
          <w:p w14:paraId="788003D0" w14:textId="6EC2E432" w:rsidR="005554FD" w:rsidRPr="00822101" w:rsidRDefault="005554FD" w:rsidP="005554FD">
            <w:pPr>
              <w:spacing w:line="276" w:lineRule="auto"/>
              <w:jc w:val="right"/>
              <w:rPr>
                <w:rFonts w:cstheme="minorHAnsi"/>
                <w:szCs w:val="24"/>
                <w:lang w:eastAsia="zh-CN"/>
              </w:rPr>
            </w:pPr>
            <w:r>
              <w:rPr>
                <w:rFonts w:ascii="Arial" w:hAnsi="Arial" w:cs="Arial"/>
                <w:color w:val="000000"/>
                <w:sz w:val="22"/>
                <w:szCs w:val="22"/>
              </w:rPr>
              <w:t>29.8%</w:t>
            </w:r>
          </w:p>
        </w:tc>
        <w:tc>
          <w:tcPr>
            <w:tcW w:w="650" w:type="pct"/>
            <w:tcBorders>
              <w:top w:val="nil"/>
              <w:left w:val="nil"/>
              <w:bottom w:val="single" w:sz="4" w:space="0" w:color="auto"/>
              <w:right w:val="single" w:sz="4" w:space="0" w:color="auto"/>
            </w:tcBorders>
            <w:shd w:val="clear" w:color="auto" w:fill="auto"/>
            <w:vAlign w:val="bottom"/>
          </w:tcPr>
          <w:p w14:paraId="621F3F8B" w14:textId="72434A56" w:rsidR="005554FD" w:rsidRPr="00822101" w:rsidRDefault="005554FD" w:rsidP="005554FD">
            <w:pPr>
              <w:spacing w:line="276" w:lineRule="auto"/>
              <w:jc w:val="right"/>
              <w:rPr>
                <w:rFonts w:cstheme="minorHAnsi"/>
                <w:szCs w:val="24"/>
                <w:lang w:eastAsia="zh-CN"/>
              </w:rPr>
            </w:pPr>
            <w:r>
              <w:rPr>
                <w:rFonts w:ascii="Arial" w:hAnsi="Arial" w:cs="Arial"/>
                <w:color w:val="000000"/>
                <w:sz w:val="22"/>
                <w:szCs w:val="22"/>
              </w:rPr>
              <w:t>2.3%</w:t>
            </w:r>
          </w:p>
        </w:tc>
      </w:tr>
      <w:tr w:rsidR="005554FD" w:rsidRPr="00CA4305" w14:paraId="367917CB" w14:textId="77777777" w:rsidTr="008D38A3">
        <w:trPr>
          <w:trHeight w:val="288"/>
        </w:trPr>
        <w:tc>
          <w:tcPr>
            <w:tcW w:w="2394" w:type="pct"/>
            <w:shd w:val="clear" w:color="auto" w:fill="auto"/>
            <w:noWrap/>
            <w:vAlign w:val="center"/>
          </w:tcPr>
          <w:p w14:paraId="1312E378" w14:textId="77777777" w:rsidR="005554FD" w:rsidRPr="00CA4305" w:rsidRDefault="005554FD" w:rsidP="005554FD">
            <w:pPr>
              <w:spacing w:line="276" w:lineRule="auto"/>
              <w:jc w:val="both"/>
              <w:rPr>
                <w:rFonts w:cstheme="minorHAnsi"/>
                <w:lang w:eastAsia="zh-CN"/>
              </w:rPr>
            </w:pPr>
            <w:r>
              <w:t>S</w:t>
            </w:r>
            <w:r w:rsidRPr="004224D9">
              <w:t>ingle person under 6</w:t>
            </w:r>
            <w:r>
              <w:t>6</w:t>
            </w:r>
          </w:p>
        </w:tc>
        <w:tc>
          <w:tcPr>
            <w:tcW w:w="675" w:type="pct"/>
            <w:tcBorders>
              <w:top w:val="nil"/>
              <w:left w:val="single" w:sz="4" w:space="0" w:color="auto"/>
              <w:bottom w:val="single" w:sz="4" w:space="0" w:color="auto"/>
              <w:right w:val="single" w:sz="4" w:space="0" w:color="auto"/>
            </w:tcBorders>
            <w:shd w:val="clear" w:color="auto" w:fill="auto"/>
            <w:noWrap/>
            <w:vAlign w:val="bottom"/>
          </w:tcPr>
          <w:p w14:paraId="56AD30B5" w14:textId="65C29754" w:rsidR="005554FD" w:rsidRDefault="005554FD" w:rsidP="005554FD">
            <w:pPr>
              <w:spacing w:line="276" w:lineRule="auto"/>
              <w:jc w:val="right"/>
              <w:rPr>
                <w:rFonts w:cstheme="minorHAnsi"/>
                <w:szCs w:val="24"/>
                <w:lang w:eastAsia="zh-CN"/>
              </w:rPr>
            </w:pPr>
            <w:r>
              <w:rPr>
                <w:rFonts w:ascii="Arial" w:hAnsi="Arial" w:cs="Arial"/>
                <w:color w:val="000000"/>
                <w:sz w:val="22"/>
                <w:szCs w:val="22"/>
              </w:rPr>
              <w:t>37.4%</w:t>
            </w:r>
          </w:p>
        </w:tc>
        <w:tc>
          <w:tcPr>
            <w:tcW w:w="629" w:type="pct"/>
            <w:tcBorders>
              <w:top w:val="nil"/>
              <w:left w:val="nil"/>
              <w:bottom w:val="single" w:sz="4" w:space="0" w:color="auto"/>
              <w:right w:val="single" w:sz="4" w:space="0" w:color="auto"/>
            </w:tcBorders>
            <w:shd w:val="clear" w:color="auto" w:fill="auto"/>
            <w:vAlign w:val="bottom"/>
          </w:tcPr>
          <w:p w14:paraId="4D327FD9" w14:textId="75AE2C06" w:rsidR="005554FD" w:rsidRDefault="005554FD" w:rsidP="005554FD">
            <w:pPr>
              <w:spacing w:line="276" w:lineRule="auto"/>
              <w:jc w:val="right"/>
              <w:rPr>
                <w:rFonts w:cstheme="minorHAnsi"/>
                <w:szCs w:val="24"/>
                <w:lang w:eastAsia="zh-CN"/>
              </w:rPr>
            </w:pPr>
            <w:r>
              <w:rPr>
                <w:rFonts w:ascii="Arial" w:hAnsi="Arial" w:cs="Arial"/>
                <w:color w:val="000000"/>
                <w:sz w:val="22"/>
                <w:szCs w:val="22"/>
              </w:rPr>
              <w:t>52.1%</w:t>
            </w:r>
          </w:p>
        </w:tc>
        <w:tc>
          <w:tcPr>
            <w:tcW w:w="652" w:type="pct"/>
            <w:tcBorders>
              <w:top w:val="nil"/>
              <w:left w:val="nil"/>
              <w:bottom w:val="single" w:sz="4" w:space="0" w:color="auto"/>
              <w:right w:val="single" w:sz="4" w:space="0" w:color="auto"/>
            </w:tcBorders>
            <w:shd w:val="clear" w:color="auto" w:fill="auto"/>
            <w:noWrap/>
            <w:vAlign w:val="bottom"/>
          </w:tcPr>
          <w:p w14:paraId="255F777C" w14:textId="4F99DA92" w:rsidR="005554FD" w:rsidRDefault="005554FD" w:rsidP="005554FD">
            <w:pPr>
              <w:spacing w:line="276" w:lineRule="auto"/>
              <w:jc w:val="right"/>
              <w:rPr>
                <w:rFonts w:cstheme="minorHAnsi"/>
                <w:szCs w:val="24"/>
                <w:lang w:eastAsia="zh-CN"/>
              </w:rPr>
            </w:pPr>
            <w:r>
              <w:rPr>
                <w:rFonts w:ascii="Arial" w:hAnsi="Arial" w:cs="Arial"/>
                <w:color w:val="000000"/>
                <w:sz w:val="22"/>
                <w:szCs w:val="22"/>
              </w:rPr>
              <w:t>10.5%</w:t>
            </w:r>
          </w:p>
        </w:tc>
        <w:tc>
          <w:tcPr>
            <w:tcW w:w="650" w:type="pct"/>
            <w:tcBorders>
              <w:top w:val="nil"/>
              <w:left w:val="nil"/>
              <w:bottom w:val="single" w:sz="4" w:space="0" w:color="auto"/>
              <w:right w:val="single" w:sz="4" w:space="0" w:color="auto"/>
            </w:tcBorders>
            <w:shd w:val="clear" w:color="auto" w:fill="auto"/>
            <w:vAlign w:val="bottom"/>
          </w:tcPr>
          <w:p w14:paraId="5A7786BE" w14:textId="5D2B829F" w:rsidR="005554FD" w:rsidRDefault="005554FD" w:rsidP="005554FD">
            <w:pPr>
              <w:spacing w:line="276" w:lineRule="auto"/>
              <w:jc w:val="right"/>
              <w:rPr>
                <w:rFonts w:cstheme="minorHAnsi"/>
                <w:szCs w:val="24"/>
                <w:lang w:eastAsia="zh-CN"/>
              </w:rPr>
            </w:pPr>
            <w:r>
              <w:rPr>
                <w:rFonts w:ascii="Arial" w:hAnsi="Arial" w:cs="Arial"/>
                <w:color w:val="000000"/>
                <w:sz w:val="22"/>
                <w:szCs w:val="22"/>
              </w:rPr>
              <w:t>0.0%</w:t>
            </w:r>
          </w:p>
        </w:tc>
      </w:tr>
      <w:tr w:rsidR="005554FD" w:rsidRPr="00CA4305" w14:paraId="7BF93D09" w14:textId="77777777" w:rsidTr="008D38A3">
        <w:trPr>
          <w:trHeight w:val="288"/>
        </w:trPr>
        <w:tc>
          <w:tcPr>
            <w:tcW w:w="2394" w:type="pct"/>
            <w:shd w:val="clear" w:color="auto" w:fill="auto"/>
            <w:noWrap/>
            <w:vAlign w:val="center"/>
          </w:tcPr>
          <w:p w14:paraId="5E928862" w14:textId="77777777" w:rsidR="005554FD" w:rsidRPr="00CA4305" w:rsidRDefault="005554FD" w:rsidP="005554FD">
            <w:pPr>
              <w:spacing w:line="276" w:lineRule="auto"/>
              <w:jc w:val="both"/>
              <w:rPr>
                <w:rFonts w:cstheme="minorHAnsi"/>
                <w:lang w:eastAsia="zh-CN"/>
              </w:rPr>
            </w:pPr>
            <w:r w:rsidRPr="004224D9">
              <w:t>All households</w:t>
            </w:r>
          </w:p>
        </w:tc>
        <w:tc>
          <w:tcPr>
            <w:tcW w:w="675" w:type="pct"/>
            <w:tcBorders>
              <w:top w:val="nil"/>
              <w:left w:val="single" w:sz="4" w:space="0" w:color="auto"/>
              <w:bottom w:val="single" w:sz="4" w:space="0" w:color="auto"/>
              <w:right w:val="single" w:sz="4" w:space="0" w:color="auto"/>
            </w:tcBorders>
            <w:shd w:val="clear" w:color="auto" w:fill="auto"/>
            <w:noWrap/>
            <w:vAlign w:val="bottom"/>
          </w:tcPr>
          <w:p w14:paraId="3686F5F0" w14:textId="2DCEEA8A" w:rsidR="005554FD" w:rsidRDefault="005554FD" w:rsidP="005554FD">
            <w:pPr>
              <w:spacing w:line="276" w:lineRule="auto"/>
              <w:jc w:val="right"/>
              <w:rPr>
                <w:rFonts w:cstheme="minorHAnsi"/>
                <w:szCs w:val="24"/>
                <w:lang w:eastAsia="zh-CN"/>
              </w:rPr>
            </w:pPr>
            <w:r>
              <w:rPr>
                <w:rFonts w:ascii="Arial" w:hAnsi="Arial" w:cs="Arial"/>
                <w:color w:val="000000"/>
                <w:sz w:val="22"/>
                <w:szCs w:val="22"/>
              </w:rPr>
              <w:t>37.6%</w:t>
            </w:r>
          </w:p>
        </w:tc>
        <w:tc>
          <w:tcPr>
            <w:tcW w:w="629" w:type="pct"/>
            <w:tcBorders>
              <w:top w:val="nil"/>
              <w:left w:val="nil"/>
              <w:bottom w:val="single" w:sz="4" w:space="0" w:color="auto"/>
              <w:right w:val="single" w:sz="4" w:space="0" w:color="auto"/>
            </w:tcBorders>
            <w:shd w:val="clear" w:color="auto" w:fill="auto"/>
            <w:vAlign w:val="bottom"/>
          </w:tcPr>
          <w:p w14:paraId="7295C5F6" w14:textId="4048CB23" w:rsidR="005554FD" w:rsidRDefault="005554FD" w:rsidP="005554FD">
            <w:pPr>
              <w:spacing w:line="276" w:lineRule="auto"/>
              <w:jc w:val="right"/>
              <w:rPr>
                <w:rFonts w:cstheme="minorHAnsi"/>
                <w:szCs w:val="24"/>
                <w:lang w:eastAsia="zh-CN"/>
              </w:rPr>
            </w:pPr>
            <w:r>
              <w:rPr>
                <w:rFonts w:ascii="Arial" w:hAnsi="Arial" w:cs="Arial"/>
                <w:color w:val="000000"/>
                <w:sz w:val="22"/>
                <w:szCs w:val="22"/>
              </w:rPr>
              <w:t>43.7%</w:t>
            </w:r>
          </w:p>
        </w:tc>
        <w:tc>
          <w:tcPr>
            <w:tcW w:w="652" w:type="pct"/>
            <w:tcBorders>
              <w:top w:val="nil"/>
              <w:left w:val="nil"/>
              <w:bottom w:val="single" w:sz="4" w:space="0" w:color="auto"/>
              <w:right w:val="single" w:sz="4" w:space="0" w:color="auto"/>
            </w:tcBorders>
            <w:shd w:val="clear" w:color="auto" w:fill="auto"/>
            <w:noWrap/>
            <w:vAlign w:val="bottom"/>
          </w:tcPr>
          <w:p w14:paraId="76D85D09" w14:textId="4E229F0C" w:rsidR="005554FD" w:rsidRDefault="005554FD" w:rsidP="005554FD">
            <w:pPr>
              <w:spacing w:line="276" w:lineRule="auto"/>
              <w:jc w:val="right"/>
              <w:rPr>
                <w:rFonts w:cstheme="minorHAnsi"/>
                <w:szCs w:val="24"/>
                <w:lang w:eastAsia="zh-CN"/>
              </w:rPr>
            </w:pPr>
            <w:r>
              <w:rPr>
                <w:rFonts w:ascii="Arial" w:hAnsi="Arial" w:cs="Arial"/>
                <w:color w:val="000000"/>
                <w:sz w:val="22"/>
                <w:szCs w:val="22"/>
              </w:rPr>
              <w:t>17.3%</w:t>
            </w:r>
          </w:p>
        </w:tc>
        <w:tc>
          <w:tcPr>
            <w:tcW w:w="650" w:type="pct"/>
            <w:tcBorders>
              <w:top w:val="nil"/>
              <w:left w:val="nil"/>
              <w:bottom w:val="single" w:sz="4" w:space="0" w:color="auto"/>
              <w:right w:val="single" w:sz="4" w:space="0" w:color="auto"/>
            </w:tcBorders>
            <w:shd w:val="clear" w:color="auto" w:fill="auto"/>
            <w:vAlign w:val="bottom"/>
          </w:tcPr>
          <w:p w14:paraId="6576070C" w14:textId="27BEC2A1" w:rsidR="005554FD" w:rsidRDefault="005554FD" w:rsidP="005554FD">
            <w:pPr>
              <w:spacing w:line="276" w:lineRule="auto"/>
              <w:jc w:val="right"/>
              <w:rPr>
                <w:rFonts w:cstheme="minorHAnsi"/>
                <w:szCs w:val="24"/>
                <w:lang w:eastAsia="zh-CN"/>
              </w:rPr>
            </w:pPr>
            <w:r>
              <w:rPr>
                <w:rFonts w:ascii="Arial" w:hAnsi="Arial" w:cs="Arial"/>
                <w:color w:val="000000"/>
                <w:sz w:val="22"/>
                <w:szCs w:val="22"/>
              </w:rPr>
              <w:t>1.4%</w:t>
            </w:r>
          </w:p>
        </w:tc>
      </w:tr>
    </w:tbl>
    <w:p w14:paraId="23A76EC5" w14:textId="77777777" w:rsidR="003B3C47" w:rsidRDefault="003B3C47" w:rsidP="00252C91">
      <w:pPr>
        <w:pStyle w:val="Source"/>
        <w:jc w:val="both"/>
        <w:rPr>
          <w:lang w:val="en-US"/>
        </w:rPr>
      </w:pPr>
      <w:r w:rsidRPr="00CA4305">
        <w:rPr>
          <w:lang w:val="en-US"/>
        </w:rPr>
        <w:t>Source: ONS 20</w:t>
      </w:r>
      <w:r>
        <w:rPr>
          <w:lang w:val="en-US"/>
        </w:rPr>
        <w:t>2</w:t>
      </w:r>
      <w:r w:rsidRPr="00CA4305">
        <w:rPr>
          <w:lang w:val="en-US"/>
        </w:rPr>
        <w:t>1, AECOM Calculations</w:t>
      </w:r>
    </w:p>
    <w:p w14:paraId="364E0F2B" w14:textId="77777777" w:rsidR="00975D7E" w:rsidRPr="00CA4305" w:rsidRDefault="00975D7E" w:rsidP="00252C91">
      <w:pPr>
        <w:pStyle w:val="Source"/>
        <w:jc w:val="both"/>
        <w:rPr>
          <w:lang w:val="en-US"/>
        </w:rPr>
      </w:pPr>
    </w:p>
    <w:p w14:paraId="69512FA4" w14:textId="0BA29CF6" w:rsidR="003B3C47" w:rsidRPr="00584BB7" w:rsidRDefault="003B3C47" w:rsidP="00252C91">
      <w:pPr>
        <w:pStyle w:val="Numberedtext"/>
        <w:jc w:val="both"/>
      </w:pPr>
      <w:bookmarkStart w:id="142" w:name="_Ref5974730"/>
      <w:bookmarkStart w:id="143" w:name="_Ref7857807"/>
      <w:bookmarkStart w:id="144" w:name="_Toc102731871"/>
      <w:r w:rsidRPr="00E91505">
        <w:t xml:space="preserve">As noted in the introduction to this chapter, the life stage of households is strongly correlated with the size of </w:t>
      </w:r>
      <w:r w:rsidRPr="00B93C84">
        <w:t>home</w:t>
      </w:r>
      <w:r w:rsidRPr="00E91505">
        <w:t xml:space="preserve"> they tend to occupy. Figure </w:t>
      </w:r>
      <w:r w:rsidR="00AF5592">
        <w:t>5-1</w:t>
      </w:r>
      <w:r w:rsidRPr="00E91505">
        <w:t xml:space="preserve"> sets </w:t>
      </w:r>
      <w:r>
        <w:t>out this relationship for</w:t>
      </w:r>
      <w:r w:rsidRPr="00E91505">
        <w:t xml:space="preserve"> </w:t>
      </w:r>
      <w:r w:rsidR="00DC6F3A">
        <w:t>Durham</w:t>
      </w:r>
      <w:r w:rsidR="00AF5592">
        <w:t xml:space="preserve"> </w:t>
      </w:r>
      <w:r w:rsidRPr="00E91505">
        <w:t>in 2011 (because this data is not available at smaller scales). Th</w:t>
      </w:r>
      <w:r>
        <w:t>e graph</w:t>
      </w:r>
      <w:r w:rsidRPr="00E91505">
        <w:t xml:space="preserve"> shows how the youngest households tend to occupy the smallest dwellings, before rapidly taking up larger homes as their families expand, and then </w:t>
      </w:r>
      <w:r w:rsidRPr="00584BB7">
        <w:t xml:space="preserve">more gradually downsizing to smaller homes again as they age. </w:t>
      </w:r>
    </w:p>
    <w:p w14:paraId="6A9D89A2" w14:textId="414FC935" w:rsidR="003B3C47" w:rsidRPr="002528DC" w:rsidRDefault="003B3C47" w:rsidP="00252C91">
      <w:pPr>
        <w:pStyle w:val="Caption"/>
        <w:jc w:val="both"/>
        <w:rPr>
          <w:color w:val="auto"/>
        </w:rPr>
      </w:pPr>
      <w:r w:rsidRPr="00584BB7">
        <w:rPr>
          <w:color w:val="auto"/>
        </w:rPr>
        <w:t>Fig</w:t>
      </w:r>
      <w:bookmarkEnd w:id="142"/>
      <w:bookmarkEnd w:id="143"/>
      <w:r w:rsidRPr="00584BB7">
        <w:rPr>
          <w:color w:val="auto"/>
        </w:rPr>
        <w:t xml:space="preserve">ure </w:t>
      </w:r>
      <w:r w:rsidR="00AF5592" w:rsidRPr="00584BB7">
        <w:rPr>
          <w:color w:val="auto"/>
        </w:rPr>
        <w:t>5-1</w:t>
      </w:r>
      <w:r w:rsidRPr="00584BB7">
        <w:rPr>
          <w:color w:val="auto"/>
        </w:rPr>
        <w:t>: Age</w:t>
      </w:r>
      <w:r w:rsidRPr="002528DC">
        <w:rPr>
          <w:color w:val="auto"/>
        </w:rPr>
        <w:t xml:space="preserve"> of household reference person by dwelling size in </w:t>
      </w:r>
      <w:r w:rsidR="00AF5592">
        <w:rPr>
          <w:color w:val="auto"/>
        </w:rPr>
        <w:t>County Durham</w:t>
      </w:r>
    </w:p>
    <w:p w14:paraId="38B5EAA3" w14:textId="56F06DA3" w:rsidR="003B3C47" w:rsidRPr="00AD0BC7" w:rsidRDefault="00584BB7" w:rsidP="00252C91">
      <w:pPr>
        <w:pStyle w:val="ListNumber"/>
        <w:numPr>
          <w:ilvl w:val="0"/>
          <w:numId w:val="0"/>
        </w:numPr>
        <w:spacing w:line="276" w:lineRule="auto"/>
        <w:ind w:left="425" w:hanging="425"/>
        <w:jc w:val="both"/>
      </w:pPr>
      <w:r>
        <w:rPr>
          <w:noProof/>
        </w:rPr>
        <w:drawing>
          <wp:inline distT="0" distB="0" distL="0" distR="0" wp14:anchorId="60AADC3B" wp14:editId="2E9DC555">
            <wp:extent cx="6286500" cy="4381500"/>
            <wp:effectExtent l="0" t="0" r="0" b="0"/>
            <wp:docPr id="19867169" name="Chart 1">
              <a:extLst xmlns:a="http://schemas.openxmlformats.org/drawingml/2006/main">
                <a:ext uri="{FF2B5EF4-FFF2-40B4-BE49-F238E27FC236}">
                  <a16:creationId xmlns:a16="http://schemas.microsoft.com/office/drawing/2014/main" id="{900AA6EE-DBD0-4EA8-88E7-1AC0BEEE8B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30BB96C" w14:textId="3E530DA8" w:rsidR="00B50B20" w:rsidRPr="00AF5592" w:rsidRDefault="003B3C47" w:rsidP="00AF5592">
      <w:pPr>
        <w:pStyle w:val="Source"/>
        <w:jc w:val="both"/>
      </w:pPr>
      <w:r w:rsidRPr="00D91AFD">
        <w:t>Source: ONS 2011, AECOM Calculations</w:t>
      </w:r>
    </w:p>
    <w:bookmarkEnd w:id="137"/>
    <w:bookmarkEnd w:id="138"/>
    <w:bookmarkEnd w:id="139"/>
    <w:bookmarkEnd w:id="140"/>
    <w:bookmarkEnd w:id="141"/>
    <w:bookmarkEnd w:id="144"/>
    <w:p w14:paraId="696FDEA1" w14:textId="77777777" w:rsidR="003B3C47" w:rsidRPr="003C03B9" w:rsidRDefault="003B3C47" w:rsidP="00252C91">
      <w:pPr>
        <w:pStyle w:val="Heading2"/>
        <w:jc w:val="both"/>
        <w:rPr>
          <w:color w:val="auto"/>
        </w:rPr>
      </w:pPr>
      <w:r w:rsidRPr="003C03B9">
        <w:rPr>
          <w:color w:val="auto"/>
        </w:rPr>
        <w:lastRenderedPageBreak/>
        <w:t>Future population and size needs</w:t>
      </w:r>
    </w:p>
    <w:p w14:paraId="03BCAD72" w14:textId="229571F5" w:rsidR="003B3C47" w:rsidRPr="003C03B9" w:rsidRDefault="003B3C47" w:rsidP="00252C91">
      <w:pPr>
        <w:pStyle w:val="Numberedtext"/>
        <w:jc w:val="both"/>
      </w:pPr>
      <w:r w:rsidRPr="003C03B9">
        <w:t xml:space="preserve">This section projects the future age profile of the population in </w:t>
      </w:r>
      <w:r w:rsidR="00D143F2">
        <w:t>Consett</w:t>
      </w:r>
      <w:r w:rsidRPr="003C03B9">
        <w:t xml:space="preserve"> at the end of the Neighbourhood Plan period and then estimates the mix of dwelling sizes they may need. </w:t>
      </w:r>
    </w:p>
    <w:p w14:paraId="7856918D" w14:textId="77777777" w:rsidR="003B3C47" w:rsidRPr="003C03B9" w:rsidRDefault="003B3C47" w:rsidP="00252C91">
      <w:pPr>
        <w:pStyle w:val="Heading3"/>
        <w:jc w:val="both"/>
        <w:rPr>
          <w:color w:val="auto"/>
        </w:rPr>
      </w:pPr>
      <w:r w:rsidRPr="003C03B9">
        <w:rPr>
          <w:color w:val="auto"/>
        </w:rPr>
        <w:t>Age</w:t>
      </w:r>
    </w:p>
    <w:p w14:paraId="2C1AD5B2" w14:textId="7590EC85" w:rsidR="003B3C47" w:rsidRPr="00D95A97" w:rsidRDefault="003B3C47" w:rsidP="00252C91">
      <w:pPr>
        <w:pStyle w:val="Numberedtext"/>
        <w:jc w:val="both"/>
      </w:pPr>
      <w:r w:rsidRPr="00D95A97">
        <w:t xml:space="preserve">The result of applying Local Authority level household projections to the age profile of </w:t>
      </w:r>
      <w:r w:rsidR="00D143F2" w:rsidRPr="00D95A97">
        <w:t>Consett</w:t>
      </w:r>
      <w:r w:rsidRPr="00D95A97">
        <w:t xml:space="preserve"> households in 2011 is shown in Table </w:t>
      </w:r>
      <w:r w:rsidR="00D95A97" w:rsidRPr="00D95A97">
        <w:t>5-8</w:t>
      </w:r>
      <w:r w:rsidRPr="00D95A97">
        <w:t>. This makes clear that population growth can be expected to be driven by the oldest households, with</w:t>
      </w:r>
      <w:r w:rsidR="00584BB7" w:rsidRPr="00D95A97">
        <w:t xml:space="preserve"> </w:t>
      </w:r>
      <w:r w:rsidR="004909D8" w:rsidRPr="00D95A97">
        <w:t xml:space="preserve">the </w:t>
      </w:r>
      <w:r w:rsidR="002560F9" w:rsidRPr="00D95A97">
        <w:t xml:space="preserve">population aged </w:t>
      </w:r>
      <w:r w:rsidR="004909D8" w:rsidRPr="00D95A97">
        <w:t xml:space="preserve">65+ </w:t>
      </w:r>
      <w:r w:rsidR="002560F9" w:rsidRPr="00D95A97">
        <w:t xml:space="preserve">doubling to become the largest single age group in </w:t>
      </w:r>
      <w:r w:rsidR="00D95A97" w:rsidRPr="00D95A97">
        <w:t xml:space="preserve">2040. Younger age groups are also expected to continue over the Neighborhood Plan, but at a much slower rate than the older population. </w:t>
      </w:r>
    </w:p>
    <w:p w14:paraId="1C84D0BA" w14:textId="67D199A7" w:rsidR="003B3C47" w:rsidRPr="003C03B9" w:rsidRDefault="003B3C47" w:rsidP="00252C91">
      <w:pPr>
        <w:pStyle w:val="Caption"/>
        <w:jc w:val="both"/>
        <w:rPr>
          <w:color w:val="auto"/>
        </w:rPr>
      </w:pPr>
      <w:bookmarkStart w:id="145" w:name="_Ref2610232"/>
      <w:r w:rsidRPr="00D95A97">
        <w:rPr>
          <w:color w:val="auto"/>
        </w:rPr>
        <w:t>Tab</w:t>
      </w:r>
      <w:bookmarkEnd w:id="145"/>
      <w:r w:rsidRPr="00D95A97">
        <w:rPr>
          <w:color w:val="auto"/>
        </w:rPr>
        <w:t xml:space="preserve">le </w:t>
      </w:r>
      <w:r w:rsidR="00D95A97" w:rsidRPr="00D95A97">
        <w:rPr>
          <w:color w:val="auto"/>
        </w:rPr>
        <w:t>5-8</w:t>
      </w:r>
      <w:r w:rsidRPr="00D95A97">
        <w:rPr>
          <w:color w:val="auto"/>
        </w:rPr>
        <w:t xml:space="preserve">: Projected age of households, </w:t>
      </w:r>
      <w:r w:rsidR="00D143F2" w:rsidRPr="00D95A97">
        <w:rPr>
          <w:color w:val="auto"/>
        </w:rPr>
        <w:t>Consett</w:t>
      </w:r>
      <w:r w:rsidRPr="00D95A97">
        <w:rPr>
          <w:color w:val="auto"/>
        </w:rPr>
        <w:t xml:space="preserve">, 2011 - </w:t>
      </w:r>
      <w:r w:rsidR="00D95A97" w:rsidRPr="00D95A97">
        <w:rPr>
          <w:color w:val="auto"/>
        </w:rPr>
        <w:t>2040</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1541"/>
        <w:gridCol w:w="1541"/>
        <w:gridCol w:w="1541"/>
        <w:gridCol w:w="1541"/>
        <w:gridCol w:w="1539"/>
      </w:tblGrid>
      <w:tr w:rsidR="003B3C47" w:rsidRPr="00374C95" w14:paraId="7B2AA170" w14:textId="77777777" w:rsidTr="004172FF">
        <w:trPr>
          <w:trHeight w:val="288"/>
        </w:trPr>
        <w:tc>
          <w:tcPr>
            <w:tcW w:w="1079" w:type="pct"/>
            <w:shd w:val="clear" w:color="auto" w:fill="000000" w:themeFill="text1"/>
            <w:noWrap/>
            <w:vAlign w:val="center"/>
            <w:hideMark/>
          </w:tcPr>
          <w:p w14:paraId="2E4838DA" w14:textId="77777777" w:rsidR="003B3C47" w:rsidRPr="00374C95" w:rsidRDefault="003B3C47" w:rsidP="00252C91">
            <w:pPr>
              <w:spacing w:line="276" w:lineRule="auto"/>
              <w:jc w:val="both"/>
              <w:rPr>
                <w:rFonts w:cstheme="minorHAnsi"/>
                <w:b/>
              </w:rPr>
            </w:pPr>
            <w:r w:rsidRPr="00374C95">
              <w:rPr>
                <w:rFonts w:cstheme="minorHAnsi"/>
              </w:rPr>
              <w:t> </w:t>
            </w:r>
            <w:r w:rsidRPr="00374C95">
              <w:rPr>
                <w:rFonts w:cstheme="minorHAnsi"/>
                <w:b/>
                <w:color w:val="FFFFFF" w:themeColor="background1"/>
              </w:rPr>
              <w:t>Year</w:t>
            </w:r>
          </w:p>
        </w:tc>
        <w:tc>
          <w:tcPr>
            <w:tcW w:w="784" w:type="pct"/>
            <w:shd w:val="clear" w:color="000000" w:fill="000000"/>
            <w:noWrap/>
            <w:vAlign w:val="center"/>
            <w:hideMark/>
          </w:tcPr>
          <w:p w14:paraId="23B9CF66" w14:textId="77777777" w:rsidR="003B3C47" w:rsidRPr="00374C95" w:rsidRDefault="003B3C47" w:rsidP="00B50B20">
            <w:pPr>
              <w:spacing w:line="276" w:lineRule="auto"/>
              <w:jc w:val="center"/>
              <w:rPr>
                <w:rFonts w:cstheme="minorHAnsi"/>
                <w:b/>
                <w:bCs/>
                <w:color w:val="FFFFFF"/>
              </w:rPr>
            </w:pPr>
            <w:r w:rsidRPr="00374C95">
              <w:rPr>
                <w:rFonts w:cstheme="minorHAnsi"/>
                <w:b/>
                <w:bCs/>
                <w:color w:val="FFFFFF"/>
              </w:rPr>
              <w:t>24 and under</w:t>
            </w:r>
          </w:p>
        </w:tc>
        <w:tc>
          <w:tcPr>
            <w:tcW w:w="784" w:type="pct"/>
            <w:shd w:val="clear" w:color="000000" w:fill="000000"/>
            <w:noWrap/>
            <w:vAlign w:val="center"/>
            <w:hideMark/>
          </w:tcPr>
          <w:p w14:paraId="2A564B7B" w14:textId="77777777" w:rsidR="003B3C47" w:rsidRPr="00374C95" w:rsidRDefault="003B3C47" w:rsidP="00B50B20">
            <w:pPr>
              <w:spacing w:line="276" w:lineRule="auto"/>
              <w:jc w:val="center"/>
              <w:rPr>
                <w:rFonts w:cstheme="minorHAnsi"/>
                <w:b/>
                <w:bCs/>
                <w:color w:val="FFFFFF"/>
              </w:rPr>
            </w:pPr>
            <w:r w:rsidRPr="00374C95">
              <w:rPr>
                <w:rFonts w:cstheme="minorHAnsi"/>
                <w:b/>
                <w:bCs/>
                <w:color w:val="FFFFFF"/>
              </w:rPr>
              <w:t>25 to 34</w:t>
            </w:r>
          </w:p>
        </w:tc>
        <w:tc>
          <w:tcPr>
            <w:tcW w:w="784" w:type="pct"/>
            <w:shd w:val="clear" w:color="000000" w:fill="000000"/>
            <w:noWrap/>
            <w:vAlign w:val="center"/>
            <w:hideMark/>
          </w:tcPr>
          <w:p w14:paraId="4B9A75D7" w14:textId="77777777" w:rsidR="003B3C47" w:rsidRPr="00374C95" w:rsidRDefault="003B3C47" w:rsidP="00B50B20">
            <w:pPr>
              <w:spacing w:line="276" w:lineRule="auto"/>
              <w:jc w:val="center"/>
              <w:rPr>
                <w:rFonts w:cstheme="minorHAnsi"/>
                <w:b/>
                <w:bCs/>
                <w:color w:val="FFFFFF"/>
              </w:rPr>
            </w:pPr>
            <w:r w:rsidRPr="00374C95">
              <w:rPr>
                <w:rFonts w:cstheme="minorHAnsi"/>
                <w:b/>
                <w:bCs/>
                <w:color w:val="FFFFFF"/>
              </w:rPr>
              <w:t>35 to 54</w:t>
            </w:r>
          </w:p>
        </w:tc>
        <w:tc>
          <w:tcPr>
            <w:tcW w:w="784" w:type="pct"/>
            <w:shd w:val="clear" w:color="000000" w:fill="000000"/>
            <w:noWrap/>
            <w:vAlign w:val="center"/>
            <w:hideMark/>
          </w:tcPr>
          <w:p w14:paraId="7FA78FDE" w14:textId="77777777" w:rsidR="003B3C47" w:rsidRPr="00374C95" w:rsidRDefault="003B3C47" w:rsidP="00B50B20">
            <w:pPr>
              <w:spacing w:line="276" w:lineRule="auto"/>
              <w:jc w:val="center"/>
              <w:rPr>
                <w:rFonts w:cstheme="minorHAnsi"/>
                <w:b/>
                <w:bCs/>
                <w:color w:val="FFFFFF"/>
              </w:rPr>
            </w:pPr>
            <w:r w:rsidRPr="00374C95">
              <w:rPr>
                <w:rFonts w:cstheme="minorHAnsi"/>
                <w:b/>
                <w:bCs/>
                <w:color w:val="FFFFFF"/>
              </w:rPr>
              <w:t>55 to 64</w:t>
            </w:r>
          </w:p>
        </w:tc>
        <w:tc>
          <w:tcPr>
            <w:tcW w:w="783" w:type="pct"/>
            <w:shd w:val="clear" w:color="000000" w:fill="000000"/>
            <w:noWrap/>
            <w:vAlign w:val="center"/>
            <w:hideMark/>
          </w:tcPr>
          <w:p w14:paraId="5A4744E3" w14:textId="77777777" w:rsidR="003B3C47" w:rsidRPr="00374C95" w:rsidRDefault="003B3C47" w:rsidP="00B50B20">
            <w:pPr>
              <w:spacing w:line="276" w:lineRule="auto"/>
              <w:jc w:val="center"/>
              <w:rPr>
                <w:rFonts w:cstheme="minorHAnsi"/>
                <w:b/>
                <w:bCs/>
                <w:color w:val="FFFFFF"/>
              </w:rPr>
            </w:pPr>
            <w:r w:rsidRPr="00374C95">
              <w:rPr>
                <w:rFonts w:cstheme="minorHAnsi"/>
                <w:b/>
                <w:bCs/>
                <w:color w:val="FFFFFF"/>
              </w:rPr>
              <w:t>65 and over</w:t>
            </w:r>
          </w:p>
        </w:tc>
      </w:tr>
      <w:tr w:rsidR="00C04322" w:rsidRPr="00374C95" w14:paraId="76F2B245" w14:textId="77777777" w:rsidTr="00B50B20">
        <w:trPr>
          <w:trHeight w:val="300"/>
        </w:trPr>
        <w:tc>
          <w:tcPr>
            <w:tcW w:w="1079" w:type="pct"/>
            <w:shd w:val="clear" w:color="auto" w:fill="auto"/>
            <w:noWrap/>
            <w:hideMark/>
          </w:tcPr>
          <w:p w14:paraId="2D8031E3" w14:textId="77777777" w:rsidR="00C04322" w:rsidRPr="00374C95" w:rsidRDefault="00C04322" w:rsidP="00C04322">
            <w:pPr>
              <w:spacing w:line="276" w:lineRule="auto"/>
              <w:jc w:val="both"/>
              <w:rPr>
                <w:rFonts w:cstheme="minorHAnsi"/>
              </w:rPr>
            </w:pPr>
            <w:r w:rsidRPr="00374C95">
              <w:t>2011</w:t>
            </w:r>
          </w:p>
        </w:tc>
        <w:tc>
          <w:tcPr>
            <w:tcW w:w="784" w:type="pct"/>
            <w:shd w:val="clear" w:color="auto" w:fill="auto"/>
            <w:noWrap/>
            <w:vAlign w:val="center"/>
            <w:hideMark/>
          </w:tcPr>
          <w:p w14:paraId="2A069008" w14:textId="7075984E" w:rsidR="00C04322" w:rsidRPr="00374C95" w:rsidRDefault="00C04322" w:rsidP="00C04322">
            <w:pPr>
              <w:spacing w:line="276" w:lineRule="auto"/>
              <w:jc w:val="right"/>
              <w:rPr>
                <w:rFonts w:cstheme="minorHAnsi"/>
              </w:rPr>
            </w:pPr>
            <w:r>
              <w:rPr>
                <w:rFonts w:ascii="Arial" w:hAnsi="Arial" w:cs="Arial"/>
                <w:color w:val="000000"/>
                <w:sz w:val="22"/>
                <w:szCs w:val="22"/>
              </w:rPr>
              <w:t>531</w:t>
            </w:r>
          </w:p>
        </w:tc>
        <w:tc>
          <w:tcPr>
            <w:tcW w:w="784" w:type="pct"/>
            <w:shd w:val="clear" w:color="auto" w:fill="auto"/>
            <w:noWrap/>
            <w:vAlign w:val="center"/>
            <w:hideMark/>
          </w:tcPr>
          <w:p w14:paraId="58D05015" w14:textId="213BF9AD" w:rsidR="00C04322" w:rsidRPr="00374C95" w:rsidRDefault="00C04322" w:rsidP="00C04322">
            <w:pPr>
              <w:spacing w:line="276" w:lineRule="auto"/>
              <w:jc w:val="right"/>
              <w:rPr>
                <w:rFonts w:cstheme="minorHAnsi"/>
              </w:rPr>
            </w:pPr>
            <w:r>
              <w:rPr>
                <w:rFonts w:ascii="Arial" w:hAnsi="Arial" w:cs="Arial"/>
                <w:color w:val="000000"/>
                <w:sz w:val="22"/>
                <w:szCs w:val="22"/>
              </w:rPr>
              <w:t>2,241</w:t>
            </w:r>
          </w:p>
        </w:tc>
        <w:tc>
          <w:tcPr>
            <w:tcW w:w="784" w:type="pct"/>
            <w:shd w:val="clear" w:color="auto" w:fill="auto"/>
            <w:noWrap/>
            <w:vAlign w:val="center"/>
            <w:hideMark/>
          </w:tcPr>
          <w:p w14:paraId="4A9D12EA" w14:textId="5A317E4C" w:rsidR="00C04322" w:rsidRPr="00374C95" w:rsidRDefault="00C04322" w:rsidP="00C04322">
            <w:pPr>
              <w:spacing w:line="276" w:lineRule="auto"/>
              <w:jc w:val="right"/>
              <w:rPr>
                <w:rFonts w:cstheme="minorHAnsi"/>
              </w:rPr>
            </w:pPr>
            <w:r>
              <w:rPr>
                <w:rFonts w:ascii="Arial" w:hAnsi="Arial" w:cs="Arial"/>
                <w:color w:val="000000"/>
                <w:sz w:val="22"/>
                <w:szCs w:val="22"/>
              </w:rPr>
              <w:t>6,425</w:t>
            </w:r>
          </w:p>
        </w:tc>
        <w:tc>
          <w:tcPr>
            <w:tcW w:w="784" w:type="pct"/>
            <w:shd w:val="clear" w:color="auto" w:fill="auto"/>
            <w:noWrap/>
            <w:vAlign w:val="center"/>
            <w:hideMark/>
          </w:tcPr>
          <w:p w14:paraId="06EB7A52" w14:textId="6A2C7551" w:rsidR="00C04322" w:rsidRPr="00374C95" w:rsidRDefault="00C04322" w:rsidP="00C04322">
            <w:pPr>
              <w:spacing w:line="276" w:lineRule="auto"/>
              <w:jc w:val="right"/>
              <w:rPr>
                <w:rFonts w:cstheme="minorHAnsi"/>
              </w:rPr>
            </w:pPr>
            <w:r>
              <w:rPr>
                <w:rFonts w:ascii="Arial" w:hAnsi="Arial" w:cs="Arial"/>
                <w:color w:val="000000"/>
                <w:sz w:val="22"/>
                <w:szCs w:val="22"/>
              </w:rPr>
              <w:t>2,835</w:t>
            </w:r>
          </w:p>
        </w:tc>
        <w:tc>
          <w:tcPr>
            <w:tcW w:w="783" w:type="pct"/>
            <w:shd w:val="clear" w:color="auto" w:fill="auto"/>
            <w:noWrap/>
            <w:vAlign w:val="center"/>
            <w:hideMark/>
          </w:tcPr>
          <w:p w14:paraId="12C05111" w14:textId="256BCC92" w:rsidR="00C04322" w:rsidRPr="00374C95" w:rsidRDefault="00C04322" w:rsidP="00C04322">
            <w:pPr>
              <w:spacing w:line="276" w:lineRule="auto"/>
              <w:jc w:val="right"/>
              <w:rPr>
                <w:rFonts w:cstheme="minorHAnsi"/>
              </w:rPr>
            </w:pPr>
            <w:r>
              <w:rPr>
                <w:rFonts w:ascii="Arial" w:hAnsi="Arial" w:cs="Arial"/>
                <w:color w:val="000000"/>
                <w:sz w:val="22"/>
                <w:szCs w:val="22"/>
              </w:rPr>
              <w:t>4,381</w:t>
            </w:r>
          </w:p>
        </w:tc>
      </w:tr>
      <w:tr w:rsidR="00434A71" w:rsidRPr="00374C95" w14:paraId="579DCC3E" w14:textId="77777777" w:rsidTr="00B50B20">
        <w:trPr>
          <w:trHeight w:val="300"/>
        </w:trPr>
        <w:tc>
          <w:tcPr>
            <w:tcW w:w="1079" w:type="pct"/>
            <w:shd w:val="clear" w:color="auto" w:fill="auto"/>
            <w:noWrap/>
            <w:hideMark/>
          </w:tcPr>
          <w:p w14:paraId="57ADEAA4" w14:textId="28D8FAA7" w:rsidR="00434A71" w:rsidRPr="00374C95" w:rsidRDefault="00434A71" w:rsidP="00434A71">
            <w:pPr>
              <w:spacing w:line="276" w:lineRule="auto"/>
              <w:jc w:val="both"/>
              <w:rPr>
                <w:rFonts w:cstheme="minorHAnsi"/>
              </w:rPr>
            </w:pPr>
            <w:r>
              <w:t>2040</w:t>
            </w:r>
          </w:p>
        </w:tc>
        <w:tc>
          <w:tcPr>
            <w:tcW w:w="784" w:type="pct"/>
            <w:shd w:val="clear" w:color="auto" w:fill="auto"/>
            <w:noWrap/>
            <w:vAlign w:val="center"/>
            <w:hideMark/>
          </w:tcPr>
          <w:p w14:paraId="460F6CDF" w14:textId="076B7EE3" w:rsidR="00434A71" w:rsidRPr="00374C95" w:rsidRDefault="00434A71" w:rsidP="00434A71">
            <w:pPr>
              <w:spacing w:line="276" w:lineRule="auto"/>
              <w:jc w:val="right"/>
              <w:rPr>
                <w:rFonts w:cstheme="minorHAnsi"/>
              </w:rPr>
            </w:pPr>
            <w:r>
              <w:rPr>
                <w:rFonts w:ascii="Arial" w:hAnsi="Arial" w:cs="Arial"/>
                <w:color w:val="000000"/>
                <w:sz w:val="22"/>
                <w:szCs w:val="22"/>
              </w:rPr>
              <w:t>566</w:t>
            </w:r>
          </w:p>
        </w:tc>
        <w:tc>
          <w:tcPr>
            <w:tcW w:w="784" w:type="pct"/>
            <w:shd w:val="clear" w:color="auto" w:fill="auto"/>
            <w:noWrap/>
            <w:vAlign w:val="center"/>
            <w:hideMark/>
          </w:tcPr>
          <w:p w14:paraId="58D071F0" w14:textId="1C6BD077" w:rsidR="00434A71" w:rsidRPr="00374C95" w:rsidRDefault="00434A71" w:rsidP="00434A71">
            <w:pPr>
              <w:spacing w:line="276" w:lineRule="auto"/>
              <w:jc w:val="right"/>
              <w:rPr>
                <w:rFonts w:cstheme="minorHAnsi"/>
              </w:rPr>
            </w:pPr>
            <w:r>
              <w:rPr>
                <w:rFonts w:ascii="Arial" w:hAnsi="Arial" w:cs="Arial"/>
                <w:color w:val="000000"/>
                <w:sz w:val="22"/>
                <w:szCs w:val="22"/>
              </w:rPr>
              <w:t>2,435</w:t>
            </w:r>
          </w:p>
        </w:tc>
        <w:tc>
          <w:tcPr>
            <w:tcW w:w="784" w:type="pct"/>
            <w:shd w:val="clear" w:color="auto" w:fill="auto"/>
            <w:noWrap/>
            <w:vAlign w:val="center"/>
            <w:hideMark/>
          </w:tcPr>
          <w:p w14:paraId="4FAFF69A" w14:textId="19C4C57A" w:rsidR="00434A71" w:rsidRPr="00374C95" w:rsidRDefault="00434A71" w:rsidP="00434A71">
            <w:pPr>
              <w:spacing w:line="276" w:lineRule="auto"/>
              <w:jc w:val="right"/>
              <w:rPr>
                <w:rFonts w:cstheme="minorHAnsi"/>
              </w:rPr>
            </w:pPr>
            <w:r>
              <w:rPr>
                <w:rFonts w:ascii="Arial" w:hAnsi="Arial" w:cs="Arial"/>
                <w:color w:val="000000"/>
                <w:sz w:val="22"/>
                <w:szCs w:val="22"/>
              </w:rPr>
              <w:t>5,955</w:t>
            </w:r>
          </w:p>
        </w:tc>
        <w:tc>
          <w:tcPr>
            <w:tcW w:w="784" w:type="pct"/>
            <w:shd w:val="clear" w:color="auto" w:fill="auto"/>
            <w:noWrap/>
            <w:vAlign w:val="center"/>
            <w:hideMark/>
          </w:tcPr>
          <w:p w14:paraId="2C9459CC" w14:textId="0B563782" w:rsidR="00434A71" w:rsidRPr="00374C95" w:rsidRDefault="00434A71" w:rsidP="00434A71">
            <w:pPr>
              <w:spacing w:line="276" w:lineRule="auto"/>
              <w:jc w:val="right"/>
              <w:rPr>
                <w:rFonts w:cstheme="minorHAnsi"/>
              </w:rPr>
            </w:pPr>
            <w:r>
              <w:rPr>
                <w:rFonts w:ascii="Arial" w:hAnsi="Arial" w:cs="Arial"/>
                <w:color w:val="000000"/>
                <w:sz w:val="22"/>
                <w:szCs w:val="22"/>
              </w:rPr>
              <w:t>2,837</w:t>
            </w:r>
          </w:p>
        </w:tc>
        <w:tc>
          <w:tcPr>
            <w:tcW w:w="783" w:type="pct"/>
            <w:shd w:val="clear" w:color="auto" w:fill="auto"/>
            <w:noWrap/>
            <w:vAlign w:val="center"/>
            <w:hideMark/>
          </w:tcPr>
          <w:p w14:paraId="5245B782" w14:textId="539F6890" w:rsidR="00434A71" w:rsidRPr="00374C95" w:rsidRDefault="00434A71" w:rsidP="00434A71">
            <w:pPr>
              <w:spacing w:line="276" w:lineRule="auto"/>
              <w:jc w:val="right"/>
              <w:rPr>
                <w:rFonts w:cstheme="minorHAnsi"/>
              </w:rPr>
            </w:pPr>
            <w:r>
              <w:rPr>
                <w:rFonts w:ascii="Arial" w:hAnsi="Arial" w:cs="Arial"/>
                <w:color w:val="000000"/>
                <w:sz w:val="22"/>
                <w:szCs w:val="22"/>
              </w:rPr>
              <w:t>6,808</w:t>
            </w:r>
          </w:p>
        </w:tc>
      </w:tr>
      <w:tr w:rsidR="00434A71" w:rsidRPr="00374C95" w14:paraId="0A7AEA99" w14:textId="77777777" w:rsidTr="00B50B20">
        <w:trPr>
          <w:trHeight w:val="300"/>
        </w:trPr>
        <w:tc>
          <w:tcPr>
            <w:tcW w:w="1079" w:type="pct"/>
            <w:shd w:val="clear" w:color="auto" w:fill="auto"/>
            <w:noWrap/>
          </w:tcPr>
          <w:p w14:paraId="5BB15471" w14:textId="5310B591" w:rsidR="00434A71" w:rsidRPr="00374C95" w:rsidRDefault="00434A71" w:rsidP="00434A71">
            <w:pPr>
              <w:spacing w:line="276" w:lineRule="auto"/>
              <w:jc w:val="both"/>
            </w:pPr>
            <w:r>
              <w:t>% change 2011-2040</w:t>
            </w:r>
          </w:p>
        </w:tc>
        <w:tc>
          <w:tcPr>
            <w:tcW w:w="784" w:type="pct"/>
            <w:shd w:val="clear" w:color="auto" w:fill="auto"/>
            <w:noWrap/>
            <w:vAlign w:val="center"/>
          </w:tcPr>
          <w:p w14:paraId="3D015ECC" w14:textId="0174D7E1" w:rsidR="00434A71" w:rsidRPr="00374C95" w:rsidRDefault="00434A71" w:rsidP="00434A71">
            <w:pPr>
              <w:spacing w:line="276" w:lineRule="auto"/>
              <w:jc w:val="right"/>
            </w:pPr>
            <w:r>
              <w:rPr>
                <w:rFonts w:ascii="Arial" w:hAnsi="Arial" w:cs="Arial"/>
                <w:color w:val="000000"/>
                <w:sz w:val="22"/>
                <w:szCs w:val="22"/>
              </w:rPr>
              <w:t>7%</w:t>
            </w:r>
          </w:p>
        </w:tc>
        <w:tc>
          <w:tcPr>
            <w:tcW w:w="784" w:type="pct"/>
            <w:shd w:val="clear" w:color="auto" w:fill="auto"/>
            <w:noWrap/>
            <w:vAlign w:val="center"/>
          </w:tcPr>
          <w:p w14:paraId="789E9997" w14:textId="3111E939" w:rsidR="00434A71" w:rsidRPr="00374C95" w:rsidRDefault="00434A71" w:rsidP="00434A71">
            <w:pPr>
              <w:spacing w:line="276" w:lineRule="auto"/>
              <w:jc w:val="right"/>
            </w:pPr>
            <w:r>
              <w:rPr>
                <w:rFonts w:ascii="Arial" w:hAnsi="Arial" w:cs="Arial"/>
                <w:color w:val="000000"/>
                <w:sz w:val="22"/>
                <w:szCs w:val="22"/>
              </w:rPr>
              <w:t>9%</w:t>
            </w:r>
          </w:p>
        </w:tc>
        <w:tc>
          <w:tcPr>
            <w:tcW w:w="784" w:type="pct"/>
            <w:shd w:val="clear" w:color="auto" w:fill="auto"/>
            <w:noWrap/>
            <w:vAlign w:val="center"/>
          </w:tcPr>
          <w:p w14:paraId="77771BC1" w14:textId="31E5FECC" w:rsidR="00434A71" w:rsidRPr="00374C95" w:rsidRDefault="00434A71" w:rsidP="00434A71">
            <w:pPr>
              <w:spacing w:line="276" w:lineRule="auto"/>
              <w:jc w:val="right"/>
            </w:pPr>
            <w:r>
              <w:rPr>
                <w:rFonts w:ascii="Arial" w:hAnsi="Arial" w:cs="Arial"/>
                <w:color w:val="000000"/>
                <w:sz w:val="22"/>
                <w:szCs w:val="22"/>
              </w:rPr>
              <w:t>-7%</w:t>
            </w:r>
          </w:p>
        </w:tc>
        <w:tc>
          <w:tcPr>
            <w:tcW w:w="784" w:type="pct"/>
            <w:shd w:val="clear" w:color="auto" w:fill="auto"/>
            <w:noWrap/>
            <w:vAlign w:val="center"/>
          </w:tcPr>
          <w:p w14:paraId="2F70BC84" w14:textId="6592245D" w:rsidR="00434A71" w:rsidRPr="00374C95" w:rsidRDefault="00434A71" w:rsidP="00434A71">
            <w:pPr>
              <w:spacing w:line="276" w:lineRule="auto"/>
              <w:jc w:val="right"/>
            </w:pPr>
            <w:r>
              <w:rPr>
                <w:rFonts w:ascii="Arial" w:hAnsi="Arial" w:cs="Arial"/>
                <w:color w:val="000000"/>
                <w:sz w:val="22"/>
                <w:szCs w:val="22"/>
              </w:rPr>
              <w:t>0%</w:t>
            </w:r>
          </w:p>
        </w:tc>
        <w:tc>
          <w:tcPr>
            <w:tcW w:w="783" w:type="pct"/>
            <w:shd w:val="clear" w:color="auto" w:fill="auto"/>
            <w:noWrap/>
            <w:vAlign w:val="center"/>
          </w:tcPr>
          <w:p w14:paraId="12FCE21B" w14:textId="7269225B" w:rsidR="00434A71" w:rsidRPr="00374C95" w:rsidRDefault="00434A71" w:rsidP="00434A71">
            <w:pPr>
              <w:spacing w:line="276" w:lineRule="auto"/>
              <w:jc w:val="right"/>
            </w:pPr>
            <w:r>
              <w:rPr>
                <w:rFonts w:ascii="Arial" w:hAnsi="Arial" w:cs="Arial"/>
                <w:color w:val="000000"/>
                <w:sz w:val="22"/>
                <w:szCs w:val="22"/>
              </w:rPr>
              <w:t>55%</w:t>
            </w:r>
          </w:p>
        </w:tc>
      </w:tr>
    </w:tbl>
    <w:p w14:paraId="28869952" w14:textId="77777777" w:rsidR="003B3C47" w:rsidRPr="00374C95" w:rsidRDefault="003B3C47" w:rsidP="00252C91">
      <w:pPr>
        <w:pStyle w:val="Source"/>
        <w:jc w:val="both"/>
      </w:pPr>
      <w:r w:rsidRPr="00374C95">
        <w:t>Source: AECOM Calculations</w:t>
      </w:r>
    </w:p>
    <w:p w14:paraId="4EB498EF" w14:textId="576F9521" w:rsidR="003B3C47" w:rsidRDefault="003B3C47" w:rsidP="00252C91">
      <w:pPr>
        <w:pStyle w:val="Numberedtext"/>
        <w:jc w:val="both"/>
      </w:pPr>
      <w:r w:rsidRPr="007B6601">
        <w:t>The</w:t>
      </w:r>
      <w:r>
        <w:t xml:space="preserve"> demographic change discussed above can be translated into an ideal mix of dwelling sizes. This is achieved through a model that maps the dwelling size preferences by life stage shown earlie</w:t>
      </w:r>
      <w:r w:rsidRPr="00D95A97">
        <w:t xml:space="preserve">r (in Figure </w:t>
      </w:r>
      <w:r w:rsidR="00D95A97" w:rsidRPr="00D95A97">
        <w:t>5-1</w:t>
      </w:r>
      <w:r w:rsidRPr="00D95A97">
        <w:t xml:space="preserve">) onto the projected age profile for the NA in Table </w:t>
      </w:r>
      <w:r w:rsidR="00D95A97" w:rsidRPr="00D95A97">
        <w:t>5-8</w:t>
      </w:r>
      <w:r w:rsidRPr="00D95A97">
        <w:t xml:space="preserve"> immediately above. The resulting ‘ideal’ future mix of dwelling sizes can then be compared to the current stock of housing to identify how future development might best fill the gaps.</w:t>
      </w:r>
      <w:bookmarkStart w:id="146" w:name="_Hlk61455209"/>
    </w:p>
    <w:p w14:paraId="015BE0DE" w14:textId="77777777" w:rsidR="003B3C47" w:rsidRPr="003C03B9" w:rsidRDefault="003B3C47" w:rsidP="00252C91">
      <w:pPr>
        <w:pStyle w:val="Numberedtext"/>
        <w:jc w:val="both"/>
      </w:pPr>
      <w:r w:rsidRPr="00992C36">
        <w:t>This approach has limitations, in that it embeds existing size preferences and does not anticipate changes in what people want from their homes. As such, it is appropriate for the results to be taken as a baseline scenario – what would occur if current trends persisted. It may well be the intention of the community to intervene to produce a different outcome more in line with their interpretation of emerging trends and their place- and community-shaping objectives.</w:t>
      </w:r>
      <w:bookmarkEnd w:id="146"/>
      <w:r w:rsidRPr="00992C36">
        <w:t xml:space="preserve"> Layering these factors on top of the indicative picture provided by this model is appropriate for the purpose of drafting </w:t>
      </w:r>
      <w:r w:rsidRPr="003C03B9">
        <w:t>neighbourhood plan policies.</w:t>
      </w:r>
    </w:p>
    <w:p w14:paraId="195514D2" w14:textId="7F8A4643" w:rsidR="00EA5481" w:rsidRDefault="003B3C47" w:rsidP="00252C91">
      <w:pPr>
        <w:pStyle w:val="Numberedtext"/>
        <w:jc w:val="both"/>
      </w:pPr>
      <w:r w:rsidRPr="00557502">
        <w:t xml:space="preserve">The result of this exercise is presented in Table </w:t>
      </w:r>
      <w:r w:rsidR="00D95A97" w:rsidRPr="00557502">
        <w:t>5-9</w:t>
      </w:r>
      <w:r w:rsidRPr="00557502">
        <w:t>. It</w:t>
      </w:r>
      <w:r w:rsidRPr="003C03B9">
        <w:t xml:space="preserve"> suggests tha</w:t>
      </w:r>
      <w:r w:rsidR="00D95A97">
        <w:t xml:space="preserve">t </w:t>
      </w:r>
      <w:proofErr w:type="gramStart"/>
      <w:r w:rsidR="00EA5481">
        <w:t>in order to</w:t>
      </w:r>
      <w:proofErr w:type="gramEnd"/>
      <w:r w:rsidR="00EA5481">
        <w:t xml:space="preserve"> meet the needs of a chang</w:t>
      </w:r>
      <w:r w:rsidR="00C330FA">
        <w:t>ing</w:t>
      </w:r>
      <w:r w:rsidR="00EA5481">
        <w:t xml:space="preserve"> population and further diversify its housing offer,</w:t>
      </w:r>
      <w:r w:rsidR="00AC1D8B">
        <w:t xml:space="preserve"> Consett is likely to need a range of different dwelling sizes from 1-3 bedrooms</w:t>
      </w:r>
      <w:r w:rsidR="00E0379C">
        <w:t xml:space="preserve">, with a small proportion of additional larger (4+ bedroom) homes. </w:t>
      </w:r>
      <w:r w:rsidR="00EA5481">
        <w:t xml:space="preserve"> </w:t>
      </w:r>
    </w:p>
    <w:p w14:paraId="3A11A202" w14:textId="77777777" w:rsidR="008E6B7D" w:rsidRDefault="008E6B7D" w:rsidP="00C60545">
      <w:pPr>
        <w:pStyle w:val="Numberedtext"/>
        <w:numPr>
          <w:ilvl w:val="0"/>
          <w:numId w:val="0"/>
        </w:numPr>
        <w:ind w:left="811"/>
        <w:jc w:val="both"/>
      </w:pPr>
    </w:p>
    <w:p w14:paraId="2103FF85" w14:textId="25A8B4E2" w:rsidR="003B3C47" w:rsidRPr="003C03B9" w:rsidRDefault="003B3C47" w:rsidP="00252C91">
      <w:pPr>
        <w:pStyle w:val="Caption"/>
        <w:jc w:val="both"/>
        <w:rPr>
          <w:color w:val="auto"/>
        </w:rPr>
      </w:pPr>
      <w:bookmarkStart w:id="147" w:name="_Ref2614062"/>
      <w:bookmarkStart w:id="148" w:name="_Ref7861551"/>
      <w:r w:rsidRPr="00000797">
        <w:rPr>
          <w:color w:val="auto"/>
        </w:rPr>
        <w:lastRenderedPageBreak/>
        <w:t>Tab</w:t>
      </w:r>
      <w:bookmarkEnd w:id="147"/>
      <w:r w:rsidRPr="00000797">
        <w:rPr>
          <w:color w:val="auto"/>
        </w:rPr>
        <w:t xml:space="preserve">le </w:t>
      </w:r>
      <w:r w:rsidR="00000797" w:rsidRPr="00000797">
        <w:rPr>
          <w:color w:val="auto"/>
        </w:rPr>
        <w:t>5-9</w:t>
      </w:r>
      <w:r w:rsidRPr="00000797">
        <w:rPr>
          <w:color w:val="auto"/>
        </w:rPr>
        <w:t xml:space="preserve">: </w:t>
      </w:r>
      <w:bookmarkEnd w:id="148"/>
      <w:r w:rsidRPr="00000797">
        <w:rPr>
          <w:color w:val="auto"/>
        </w:rPr>
        <w:t xml:space="preserve">Suggested dwelling size mix to </w:t>
      </w:r>
      <w:r w:rsidR="00000797" w:rsidRPr="00000797">
        <w:rPr>
          <w:color w:val="auto"/>
        </w:rPr>
        <w:t>2040</w:t>
      </w:r>
      <w:r w:rsidRPr="00000797">
        <w:rPr>
          <w:color w:val="auto"/>
        </w:rPr>
        <w:t xml:space="preserve">, </w:t>
      </w:r>
      <w:r w:rsidR="00D143F2" w:rsidRPr="00000797">
        <w:rPr>
          <w:color w:val="auto"/>
        </w:rPr>
        <w:t>Consett</w:t>
      </w:r>
    </w:p>
    <w:tbl>
      <w:tblPr>
        <w:tblW w:w="49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3"/>
        <w:gridCol w:w="2460"/>
        <w:gridCol w:w="2460"/>
        <w:gridCol w:w="2455"/>
      </w:tblGrid>
      <w:tr w:rsidR="003B3C47" w:rsidRPr="00374C95" w14:paraId="2F9BF29E" w14:textId="77777777" w:rsidTr="003B25C3">
        <w:trPr>
          <w:trHeight w:val="288"/>
        </w:trPr>
        <w:tc>
          <w:tcPr>
            <w:tcW w:w="1244" w:type="pct"/>
            <w:shd w:val="clear" w:color="auto" w:fill="000000" w:themeFill="text1"/>
            <w:noWrap/>
            <w:vAlign w:val="center"/>
          </w:tcPr>
          <w:p w14:paraId="316E5CD8" w14:textId="77777777" w:rsidR="003B3C47" w:rsidRPr="00374C95" w:rsidRDefault="003B3C47" w:rsidP="00B50B20">
            <w:pPr>
              <w:spacing w:line="276" w:lineRule="auto"/>
              <w:rPr>
                <w:rFonts w:cstheme="minorHAnsi"/>
                <w:b/>
                <w:color w:val="FFFFFF" w:themeColor="background2"/>
              </w:rPr>
            </w:pPr>
            <w:r w:rsidRPr="00374C95">
              <w:rPr>
                <w:rFonts w:cstheme="minorHAnsi"/>
                <w:b/>
                <w:color w:val="FFFFFF" w:themeColor="background2"/>
              </w:rPr>
              <w:t>Number of bedrooms</w:t>
            </w:r>
          </w:p>
        </w:tc>
        <w:tc>
          <w:tcPr>
            <w:tcW w:w="1253" w:type="pct"/>
            <w:shd w:val="clear" w:color="auto" w:fill="000000" w:themeFill="text1"/>
            <w:noWrap/>
            <w:vAlign w:val="center"/>
          </w:tcPr>
          <w:p w14:paraId="71ECA7E7" w14:textId="77777777" w:rsidR="003B3C47" w:rsidRPr="00374C95" w:rsidRDefault="003B3C47" w:rsidP="00B50B20">
            <w:pPr>
              <w:spacing w:line="276" w:lineRule="auto"/>
              <w:jc w:val="center"/>
              <w:rPr>
                <w:rFonts w:cstheme="minorHAnsi"/>
                <w:b/>
                <w:color w:val="FFFFFF" w:themeColor="background2"/>
              </w:rPr>
            </w:pPr>
            <w:r>
              <w:rPr>
                <w:b/>
                <w:color w:val="FFFFFF" w:themeColor="background2"/>
              </w:rPr>
              <w:t>Current mix (2011)</w:t>
            </w:r>
          </w:p>
        </w:tc>
        <w:tc>
          <w:tcPr>
            <w:tcW w:w="1253" w:type="pct"/>
            <w:shd w:val="clear" w:color="auto" w:fill="000000" w:themeFill="text1"/>
            <w:noWrap/>
            <w:vAlign w:val="center"/>
          </w:tcPr>
          <w:p w14:paraId="1EF2362A" w14:textId="78F56991" w:rsidR="003B3C47" w:rsidRPr="00374C95" w:rsidRDefault="003B3C47" w:rsidP="00B50B20">
            <w:pPr>
              <w:spacing w:line="276" w:lineRule="auto"/>
              <w:jc w:val="center"/>
              <w:rPr>
                <w:rFonts w:cstheme="minorHAnsi"/>
                <w:b/>
                <w:color w:val="FFFFFF" w:themeColor="background2"/>
              </w:rPr>
            </w:pPr>
            <w:r>
              <w:rPr>
                <w:rFonts w:cstheme="minorHAnsi"/>
                <w:b/>
                <w:color w:val="FFFFFF" w:themeColor="background2"/>
              </w:rPr>
              <w:t>Suggested mix (</w:t>
            </w:r>
            <w:r w:rsidR="003B25C3">
              <w:rPr>
                <w:rFonts w:cstheme="minorHAnsi"/>
                <w:b/>
                <w:color w:val="FFFFFF" w:themeColor="background2"/>
              </w:rPr>
              <w:t>2040</w:t>
            </w:r>
            <w:r>
              <w:rPr>
                <w:rFonts w:cstheme="minorHAnsi"/>
                <w:b/>
                <w:color w:val="FFFFFF" w:themeColor="background2"/>
              </w:rPr>
              <w:t>)</w:t>
            </w:r>
          </w:p>
        </w:tc>
        <w:tc>
          <w:tcPr>
            <w:tcW w:w="1250" w:type="pct"/>
            <w:shd w:val="clear" w:color="auto" w:fill="000000" w:themeFill="text1"/>
            <w:noWrap/>
            <w:vAlign w:val="center"/>
          </w:tcPr>
          <w:p w14:paraId="4D14BCCD" w14:textId="77777777" w:rsidR="003B3C47" w:rsidRPr="00374C95" w:rsidRDefault="003B3C47" w:rsidP="00B50B20">
            <w:pPr>
              <w:spacing w:line="276" w:lineRule="auto"/>
              <w:jc w:val="center"/>
              <w:rPr>
                <w:rFonts w:cstheme="minorHAnsi"/>
                <w:b/>
                <w:color w:val="FFFFFF" w:themeColor="background2"/>
              </w:rPr>
            </w:pPr>
            <w:r>
              <w:rPr>
                <w:b/>
                <w:color w:val="FFFFFF" w:themeColor="background2"/>
              </w:rPr>
              <w:t>Balance of new housing to reach suggested mix</w:t>
            </w:r>
          </w:p>
        </w:tc>
      </w:tr>
      <w:tr w:rsidR="003B25C3" w:rsidRPr="00374C95" w14:paraId="768F3895" w14:textId="77777777" w:rsidTr="003B25C3">
        <w:trPr>
          <w:trHeight w:val="288"/>
        </w:trPr>
        <w:tc>
          <w:tcPr>
            <w:tcW w:w="1244" w:type="pct"/>
            <w:shd w:val="clear" w:color="auto" w:fill="auto"/>
            <w:noWrap/>
            <w:vAlign w:val="center"/>
            <w:hideMark/>
          </w:tcPr>
          <w:p w14:paraId="0CB771B1" w14:textId="77777777" w:rsidR="003B25C3" w:rsidRPr="00374C95" w:rsidRDefault="003B25C3" w:rsidP="003B25C3">
            <w:pPr>
              <w:spacing w:line="276" w:lineRule="auto"/>
              <w:jc w:val="both"/>
              <w:rPr>
                <w:rFonts w:cstheme="minorHAnsi"/>
              </w:rPr>
            </w:pPr>
            <w:r w:rsidRPr="00374C95">
              <w:rPr>
                <w:rFonts w:cstheme="minorHAnsi"/>
              </w:rPr>
              <w:t>1</w:t>
            </w:r>
          </w:p>
        </w:tc>
        <w:tc>
          <w:tcPr>
            <w:tcW w:w="12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1420E" w14:textId="0FA99956" w:rsidR="003B25C3" w:rsidRPr="00374C95" w:rsidRDefault="003B25C3" w:rsidP="003B25C3">
            <w:pPr>
              <w:spacing w:line="276" w:lineRule="auto"/>
              <w:jc w:val="right"/>
              <w:rPr>
                <w:rFonts w:cstheme="minorHAnsi"/>
              </w:rPr>
            </w:pPr>
            <w:r>
              <w:rPr>
                <w:rFonts w:ascii="Arial" w:hAnsi="Arial" w:cs="Arial"/>
                <w:color w:val="000000"/>
                <w:sz w:val="22"/>
                <w:szCs w:val="22"/>
              </w:rPr>
              <w:t>3.6%</w:t>
            </w:r>
          </w:p>
        </w:tc>
        <w:tc>
          <w:tcPr>
            <w:tcW w:w="125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9FFA1E" w14:textId="7C448335" w:rsidR="003B25C3" w:rsidRPr="00374C95" w:rsidRDefault="003B25C3" w:rsidP="003B25C3">
            <w:pPr>
              <w:spacing w:line="276" w:lineRule="auto"/>
              <w:jc w:val="right"/>
              <w:rPr>
                <w:rFonts w:cstheme="minorHAnsi"/>
              </w:rPr>
            </w:pPr>
            <w:r>
              <w:rPr>
                <w:rFonts w:ascii="Arial" w:hAnsi="Arial" w:cs="Arial"/>
                <w:color w:val="000000"/>
                <w:sz w:val="22"/>
                <w:szCs w:val="22"/>
              </w:rPr>
              <w:t>6.9%</w:t>
            </w:r>
          </w:p>
        </w:tc>
        <w:tc>
          <w:tcPr>
            <w:tcW w:w="12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4AFB16" w14:textId="0EA61C3D" w:rsidR="003B25C3" w:rsidRPr="00374C95" w:rsidRDefault="003B25C3" w:rsidP="003B25C3">
            <w:pPr>
              <w:spacing w:line="276" w:lineRule="auto"/>
              <w:jc w:val="right"/>
              <w:rPr>
                <w:rFonts w:cstheme="minorHAnsi"/>
              </w:rPr>
            </w:pPr>
            <w:r>
              <w:rPr>
                <w:rFonts w:ascii="Arial" w:hAnsi="Arial" w:cs="Arial"/>
                <w:color w:val="000000"/>
                <w:sz w:val="22"/>
                <w:szCs w:val="22"/>
              </w:rPr>
              <w:t>31.7%</w:t>
            </w:r>
          </w:p>
        </w:tc>
      </w:tr>
      <w:tr w:rsidR="003B25C3" w:rsidRPr="00374C95" w14:paraId="731A1C8F" w14:textId="77777777" w:rsidTr="003B25C3">
        <w:trPr>
          <w:trHeight w:val="288"/>
        </w:trPr>
        <w:tc>
          <w:tcPr>
            <w:tcW w:w="1244" w:type="pct"/>
            <w:shd w:val="clear" w:color="auto" w:fill="auto"/>
            <w:noWrap/>
            <w:vAlign w:val="center"/>
            <w:hideMark/>
          </w:tcPr>
          <w:p w14:paraId="6F7A91CE" w14:textId="77777777" w:rsidR="003B25C3" w:rsidRPr="00374C95" w:rsidRDefault="003B25C3" w:rsidP="003B25C3">
            <w:pPr>
              <w:spacing w:line="276" w:lineRule="auto"/>
              <w:jc w:val="both"/>
              <w:rPr>
                <w:rFonts w:cstheme="minorHAnsi"/>
              </w:rPr>
            </w:pPr>
            <w:r w:rsidRPr="00374C95">
              <w:rPr>
                <w:rFonts w:cstheme="minorHAnsi"/>
              </w:rPr>
              <w:t>2</w:t>
            </w:r>
          </w:p>
        </w:tc>
        <w:tc>
          <w:tcPr>
            <w:tcW w:w="12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C387868" w14:textId="6A3D5359" w:rsidR="003B25C3" w:rsidRPr="00374C95" w:rsidRDefault="003B25C3" w:rsidP="003B25C3">
            <w:pPr>
              <w:spacing w:line="276" w:lineRule="auto"/>
              <w:jc w:val="right"/>
              <w:rPr>
                <w:rFonts w:cstheme="minorHAnsi"/>
              </w:rPr>
            </w:pPr>
            <w:r>
              <w:rPr>
                <w:rFonts w:ascii="Arial" w:hAnsi="Arial" w:cs="Arial"/>
                <w:color w:val="000000"/>
                <w:sz w:val="22"/>
                <w:szCs w:val="22"/>
              </w:rPr>
              <w:t>33.8%</w:t>
            </w:r>
          </w:p>
        </w:tc>
        <w:tc>
          <w:tcPr>
            <w:tcW w:w="12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D700F44" w14:textId="6D9509C4" w:rsidR="003B25C3" w:rsidRPr="00374C95" w:rsidRDefault="003B25C3" w:rsidP="003B25C3">
            <w:pPr>
              <w:spacing w:line="276" w:lineRule="auto"/>
              <w:jc w:val="right"/>
              <w:rPr>
                <w:rFonts w:cstheme="minorHAnsi"/>
              </w:rPr>
            </w:pPr>
            <w:r>
              <w:rPr>
                <w:rFonts w:ascii="Arial" w:hAnsi="Arial" w:cs="Arial"/>
                <w:color w:val="000000"/>
                <w:sz w:val="22"/>
                <w:szCs w:val="22"/>
              </w:rPr>
              <w:t>34.9%</w:t>
            </w:r>
          </w:p>
        </w:tc>
        <w:tc>
          <w:tcPr>
            <w:tcW w:w="1250"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F06633E" w14:textId="35336B9D" w:rsidR="003B25C3" w:rsidRPr="00374C95" w:rsidRDefault="003B25C3" w:rsidP="003B25C3">
            <w:pPr>
              <w:spacing w:line="276" w:lineRule="auto"/>
              <w:jc w:val="right"/>
              <w:rPr>
                <w:rFonts w:cstheme="minorHAnsi"/>
              </w:rPr>
            </w:pPr>
            <w:r>
              <w:rPr>
                <w:rFonts w:ascii="Arial" w:hAnsi="Arial" w:cs="Arial"/>
                <w:color w:val="000000"/>
                <w:sz w:val="22"/>
                <w:szCs w:val="22"/>
              </w:rPr>
              <w:t>42.9%</w:t>
            </w:r>
          </w:p>
        </w:tc>
      </w:tr>
      <w:tr w:rsidR="003B25C3" w:rsidRPr="00374C95" w14:paraId="5BD26502" w14:textId="77777777" w:rsidTr="003B25C3">
        <w:trPr>
          <w:trHeight w:val="288"/>
        </w:trPr>
        <w:tc>
          <w:tcPr>
            <w:tcW w:w="1244" w:type="pct"/>
            <w:shd w:val="clear" w:color="auto" w:fill="auto"/>
            <w:noWrap/>
            <w:vAlign w:val="center"/>
            <w:hideMark/>
          </w:tcPr>
          <w:p w14:paraId="4BC68E63" w14:textId="77777777" w:rsidR="003B25C3" w:rsidRPr="00374C95" w:rsidRDefault="003B25C3" w:rsidP="003B25C3">
            <w:pPr>
              <w:spacing w:line="276" w:lineRule="auto"/>
              <w:jc w:val="both"/>
              <w:rPr>
                <w:rFonts w:cstheme="minorHAnsi"/>
              </w:rPr>
            </w:pPr>
            <w:r w:rsidRPr="00374C95">
              <w:rPr>
                <w:rFonts w:cstheme="minorHAnsi"/>
              </w:rPr>
              <w:t>3</w:t>
            </w:r>
          </w:p>
        </w:tc>
        <w:tc>
          <w:tcPr>
            <w:tcW w:w="12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B51504C" w14:textId="775FDF68" w:rsidR="003B25C3" w:rsidRPr="00374C95" w:rsidRDefault="003B25C3" w:rsidP="003B25C3">
            <w:pPr>
              <w:spacing w:line="276" w:lineRule="auto"/>
              <w:jc w:val="right"/>
              <w:rPr>
                <w:rFonts w:cstheme="minorHAnsi"/>
              </w:rPr>
            </w:pPr>
            <w:r>
              <w:rPr>
                <w:rFonts w:ascii="Arial" w:hAnsi="Arial" w:cs="Arial"/>
                <w:color w:val="000000"/>
                <w:sz w:val="22"/>
                <w:szCs w:val="22"/>
              </w:rPr>
              <w:t>46.8%</w:t>
            </w:r>
          </w:p>
        </w:tc>
        <w:tc>
          <w:tcPr>
            <w:tcW w:w="12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9822F68" w14:textId="0CF073C6" w:rsidR="003B25C3" w:rsidRPr="00374C95" w:rsidRDefault="003B25C3" w:rsidP="003B25C3">
            <w:pPr>
              <w:spacing w:line="276" w:lineRule="auto"/>
              <w:jc w:val="right"/>
              <w:rPr>
                <w:rFonts w:cstheme="minorHAnsi"/>
              </w:rPr>
            </w:pPr>
            <w:r>
              <w:rPr>
                <w:rFonts w:ascii="Arial" w:hAnsi="Arial" w:cs="Arial"/>
                <w:color w:val="000000"/>
                <w:sz w:val="22"/>
                <w:szCs w:val="22"/>
              </w:rPr>
              <w:t>44.0%</w:t>
            </w:r>
          </w:p>
        </w:tc>
        <w:tc>
          <w:tcPr>
            <w:tcW w:w="1250"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2615A4F" w14:textId="6E3703B7" w:rsidR="003B25C3" w:rsidRPr="00374C95" w:rsidRDefault="003B25C3" w:rsidP="003B25C3">
            <w:pPr>
              <w:spacing w:line="276" w:lineRule="auto"/>
              <w:jc w:val="right"/>
              <w:rPr>
                <w:rFonts w:cstheme="minorHAnsi"/>
              </w:rPr>
            </w:pPr>
            <w:r>
              <w:rPr>
                <w:rFonts w:ascii="Arial" w:hAnsi="Arial" w:cs="Arial"/>
                <w:color w:val="000000"/>
                <w:sz w:val="22"/>
                <w:szCs w:val="22"/>
              </w:rPr>
              <w:t>23.0%</w:t>
            </w:r>
          </w:p>
        </w:tc>
      </w:tr>
      <w:tr w:rsidR="003B25C3" w:rsidRPr="00374C95" w14:paraId="387926AD" w14:textId="77777777" w:rsidTr="003B25C3">
        <w:trPr>
          <w:trHeight w:val="288"/>
        </w:trPr>
        <w:tc>
          <w:tcPr>
            <w:tcW w:w="1244" w:type="pct"/>
            <w:shd w:val="clear" w:color="auto" w:fill="auto"/>
            <w:noWrap/>
            <w:vAlign w:val="center"/>
            <w:hideMark/>
          </w:tcPr>
          <w:p w14:paraId="3179F58A" w14:textId="0D8C2C2C" w:rsidR="003B25C3" w:rsidRPr="00374C95" w:rsidRDefault="003B25C3" w:rsidP="003B25C3">
            <w:pPr>
              <w:spacing w:line="276" w:lineRule="auto"/>
              <w:jc w:val="both"/>
              <w:rPr>
                <w:rFonts w:cstheme="minorHAnsi"/>
              </w:rPr>
            </w:pPr>
            <w:r w:rsidRPr="00374C95">
              <w:rPr>
                <w:rFonts w:cstheme="minorHAnsi"/>
              </w:rPr>
              <w:t>4</w:t>
            </w:r>
            <w:r>
              <w:rPr>
                <w:rFonts w:cstheme="minorHAnsi"/>
              </w:rPr>
              <w:t>+</w:t>
            </w:r>
          </w:p>
        </w:tc>
        <w:tc>
          <w:tcPr>
            <w:tcW w:w="12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ECD739E" w14:textId="15E689EF" w:rsidR="003B25C3" w:rsidRPr="00374C95" w:rsidRDefault="003B25C3" w:rsidP="003B25C3">
            <w:pPr>
              <w:spacing w:line="276" w:lineRule="auto"/>
              <w:jc w:val="right"/>
              <w:rPr>
                <w:rFonts w:cstheme="minorHAnsi"/>
              </w:rPr>
            </w:pPr>
            <w:r>
              <w:rPr>
                <w:rFonts w:ascii="Arial" w:hAnsi="Arial" w:cs="Arial"/>
                <w:color w:val="000000"/>
                <w:sz w:val="22"/>
                <w:szCs w:val="22"/>
              </w:rPr>
              <w:t>12.9%</w:t>
            </w:r>
          </w:p>
        </w:tc>
        <w:tc>
          <w:tcPr>
            <w:tcW w:w="125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AD94EFD" w14:textId="3CB6E7B0" w:rsidR="003B25C3" w:rsidRPr="00374C95" w:rsidRDefault="003B25C3" w:rsidP="003B25C3">
            <w:pPr>
              <w:spacing w:line="276" w:lineRule="auto"/>
              <w:jc w:val="right"/>
              <w:rPr>
                <w:rFonts w:cstheme="minorHAnsi"/>
              </w:rPr>
            </w:pPr>
            <w:r>
              <w:rPr>
                <w:rFonts w:ascii="Arial" w:hAnsi="Arial" w:cs="Arial"/>
                <w:color w:val="000000"/>
                <w:sz w:val="22"/>
                <w:szCs w:val="22"/>
              </w:rPr>
              <w:t>11.4%</w:t>
            </w:r>
          </w:p>
        </w:tc>
        <w:tc>
          <w:tcPr>
            <w:tcW w:w="1250"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DB80A8B" w14:textId="1617D871" w:rsidR="003B25C3" w:rsidRPr="00374C95" w:rsidRDefault="0076781A" w:rsidP="003B25C3">
            <w:pPr>
              <w:spacing w:line="276" w:lineRule="auto"/>
              <w:jc w:val="right"/>
              <w:rPr>
                <w:rFonts w:cstheme="minorHAnsi"/>
              </w:rPr>
            </w:pPr>
            <w:r>
              <w:rPr>
                <w:rFonts w:ascii="Arial" w:hAnsi="Arial" w:cs="Arial"/>
                <w:color w:val="000000"/>
                <w:sz w:val="22"/>
                <w:szCs w:val="22"/>
              </w:rPr>
              <w:t>2</w:t>
            </w:r>
            <w:r w:rsidR="003B25C3">
              <w:rPr>
                <w:rFonts w:ascii="Arial" w:hAnsi="Arial" w:cs="Arial"/>
                <w:color w:val="000000"/>
                <w:sz w:val="22"/>
                <w:szCs w:val="22"/>
              </w:rPr>
              <w:t>.5%</w:t>
            </w:r>
          </w:p>
        </w:tc>
      </w:tr>
    </w:tbl>
    <w:p w14:paraId="348E6AEB" w14:textId="77777777" w:rsidR="003B3C47" w:rsidRPr="00374C95" w:rsidRDefault="003B3C47" w:rsidP="00252C91">
      <w:pPr>
        <w:pStyle w:val="Source"/>
        <w:jc w:val="both"/>
      </w:pPr>
      <w:r w:rsidRPr="00374C95">
        <w:t>Source: AECOM Calculations</w:t>
      </w:r>
    </w:p>
    <w:p w14:paraId="56A87D08" w14:textId="77777777" w:rsidR="003B3C47" w:rsidRPr="008D5C03" w:rsidRDefault="003B3C47" w:rsidP="00252C91">
      <w:pPr>
        <w:pStyle w:val="Numberedtext"/>
        <w:jc w:val="both"/>
      </w:pPr>
      <w:r w:rsidRPr="008D5C03">
        <w:t>The following points sense-check the results of the model against other evidence and suggest ways to interpret them when thinking about policy options.</w:t>
      </w:r>
    </w:p>
    <w:p w14:paraId="4CF51ACD" w14:textId="0BFFC279" w:rsidR="003B3C47" w:rsidRPr="008D5C03" w:rsidRDefault="003B3C47" w:rsidP="00252C91">
      <w:pPr>
        <w:pStyle w:val="ListBullet"/>
        <w:jc w:val="both"/>
      </w:pPr>
      <w:r w:rsidRPr="008D5C03">
        <w:t xml:space="preserve">To best meet the needs of the growing cohort of older households expected to be present by the end of </w:t>
      </w:r>
      <w:r w:rsidR="0096304E">
        <w:t>the Neighbourhood Plan period</w:t>
      </w:r>
      <w:r w:rsidRPr="008D5C03">
        <w:t xml:space="preserve">, it should also be considered whether the existing options are well tailored to older people’s requirements in terms of space, flexibility, quality, location and accessibility. </w:t>
      </w:r>
    </w:p>
    <w:p w14:paraId="7211F9AB" w14:textId="58B6D94A" w:rsidR="003B3C47" w:rsidRDefault="003B3C47" w:rsidP="00252C91">
      <w:pPr>
        <w:pStyle w:val="ListBullet"/>
        <w:jc w:val="both"/>
      </w:pPr>
      <w:r w:rsidRPr="008D5C03">
        <w:t>Variety should be sought within the mid-sized homes that are built in future to attract both newly forming households on lower budgets and older households with equity from their existing larger homes.</w:t>
      </w:r>
      <w:r>
        <w:t xml:space="preserve"> While the number of bedrooms required may be similar, other preferences and levels of purchasing power could be very different. </w:t>
      </w:r>
      <w:r w:rsidRPr="008D5C03">
        <w:t xml:space="preserve">Facilitating downsizing among older households may </w:t>
      </w:r>
      <w:r>
        <w:t xml:space="preserve">also </w:t>
      </w:r>
      <w:r w:rsidRPr="008D5C03">
        <w:t>release those larger homes for use by families who need more bedrooms</w:t>
      </w:r>
      <w:r>
        <w:t xml:space="preserve"> if the existing stock of larger homes is sufficiently affordable</w:t>
      </w:r>
      <w:r w:rsidRPr="008D5C03">
        <w:t>.</w:t>
      </w:r>
    </w:p>
    <w:p w14:paraId="5DD2BD83" w14:textId="1ECAC7D7" w:rsidR="00AA2C2F" w:rsidRDefault="00AA2C2F" w:rsidP="00252C91">
      <w:pPr>
        <w:pStyle w:val="ListBullet"/>
        <w:jc w:val="both"/>
      </w:pPr>
      <w:r>
        <w:t xml:space="preserve">The </w:t>
      </w:r>
      <w:r w:rsidR="00E96FF2">
        <w:t>County Durham SHMA</w:t>
      </w:r>
      <w:r w:rsidR="00CD42DF">
        <w:t xml:space="preserve"> (201</w:t>
      </w:r>
      <w:r w:rsidR="008B3C42">
        <w:t>8</w:t>
      </w:r>
      <w:r w:rsidR="00CD42DF">
        <w:t>)</w:t>
      </w:r>
      <w:r w:rsidR="00E96FF2">
        <w:t xml:space="preserve"> recommends new ma</w:t>
      </w:r>
      <w:r w:rsidR="009E0077">
        <w:t xml:space="preserve">rket housing should </w:t>
      </w:r>
      <w:r w:rsidR="00CD42DF">
        <w:t xml:space="preserve">follow this indicative size mix: </w:t>
      </w:r>
    </w:p>
    <w:p w14:paraId="3A8B2C9C" w14:textId="696494F9" w:rsidR="001A6163" w:rsidRDefault="001A6163" w:rsidP="001A6163">
      <w:pPr>
        <w:pStyle w:val="ListBullet"/>
        <w:numPr>
          <w:ilvl w:val="0"/>
          <w:numId w:val="43"/>
        </w:numPr>
        <w:tabs>
          <w:tab w:val="clear" w:pos="425"/>
          <w:tab w:val="left" w:pos="1560"/>
        </w:tabs>
        <w:ind w:left="1985"/>
      </w:pPr>
      <w:r>
        <w:t xml:space="preserve">1 bed: </w:t>
      </w:r>
      <w:r w:rsidR="008819FB">
        <w:t>11</w:t>
      </w:r>
      <w:r>
        <w:t>%</w:t>
      </w:r>
    </w:p>
    <w:p w14:paraId="083B2C66" w14:textId="203F3A27" w:rsidR="001A6163" w:rsidRDefault="001A6163" w:rsidP="001A6163">
      <w:pPr>
        <w:pStyle w:val="ListBullet"/>
        <w:numPr>
          <w:ilvl w:val="0"/>
          <w:numId w:val="43"/>
        </w:numPr>
        <w:tabs>
          <w:tab w:val="clear" w:pos="425"/>
          <w:tab w:val="left" w:pos="1560"/>
        </w:tabs>
        <w:ind w:left="1985"/>
      </w:pPr>
      <w:r>
        <w:t>2-bed: 3</w:t>
      </w:r>
      <w:r w:rsidR="00C66034">
        <w:t>7</w:t>
      </w:r>
      <w:r>
        <w:t>%</w:t>
      </w:r>
    </w:p>
    <w:p w14:paraId="612302B8" w14:textId="52C0833D" w:rsidR="001A6163" w:rsidRDefault="001A6163" w:rsidP="001A6163">
      <w:pPr>
        <w:pStyle w:val="ListBullet"/>
        <w:numPr>
          <w:ilvl w:val="0"/>
          <w:numId w:val="43"/>
        </w:numPr>
        <w:tabs>
          <w:tab w:val="clear" w:pos="425"/>
          <w:tab w:val="left" w:pos="1560"/>
        </w:tabs>
        <w:ind w:left="1985"/>
      </w:pPr>
      <w:r>
        <w:t xml:space="preserve">3-bed: </w:t>
      </w:r>
      <w:r w:rsidR="00C66034">
        <w:t>52</w:t>
      </w:r>
      <w:r>
        <w:t>%</w:t>
      </w:r>
    </w:p>
    <w:p w14:paraId="172C397E" w14:textId="125623D6" w:rsidR="001A6163" w:rsidRDefault="001A6163" w:rsidP="001A6163">
      <w:pPr>
        <w:pStyle w:val="ListBullet"/>
        <w:numPr>
          <w:ilvl w:val="0"/>
          <w:numId w:val="43"/>
        </w:numPr>
        <w:tabs>
          <w:tab w:val="clear" w:pos="425"/>
          <w:tab w:val="left" w:pos="1560"/>
        </w:tabs>
        <w:ind w:left="1985"/>
      </w:pPr>
      <w:r>
        <w:t xml:space="preserve">4+ bed: </w:t>
      </w:r>
      <w:r w:rsidR="00A9608E">
        <w:t>0</w:t>
      </w:r>
      <w:r>
        <w:t>%</w:t>
      </w:r>
    </w:p>
    <w:p w14:paraId="44AD1ECB" w14:textId="0069E4D2" w:rsidR="008E392A" w:rsidRDefault="00420923" w:rsidP="008E392A">
      <w:pPr>
        <w:pStyle w:val="ListBullet"/>
        <w:numPr>
          <w:ilvl w:val="0"/>
          <w:numId w:val="44"/>
        </w:numPr>
        <w:tabs>
          <w:tab w:val="clear" w:pos="425"/>
        </w:tabs>
        <w:ind w:left="1276"/>
        <w:jc w:val="both"/>
      </w:pPr>
      <w:r>
        <w:t xml:space="preserve">The figures presented in Table 5-9 above deviate slightly from those presented in the county wide SHMA, with AECOM estimating a higher need for homes with either 1 or 2 bed homes in Consett. </w:t>
      </w:r>
      <w:r w:rsidR="00736DEC">
        <w:t xml:space="preserve">Providing homes of this size could encourage downsizing </w:t>
      </w:r>
      <w:r w:rsidR="00992B6B">
        <w:t xml:space="preserve">among the older </w:t>
      </w:r>
      <w:r w:rsidR="00302880">
        <w:t>population and</w:t>
      </w:r>
      <w:r w:rsidR="00992B6B">
        <w:t xml:space="preserve"> may </w:t>
      </w:r>
      <w:r w:rsidR="00080E1B">
        <w:t xml:space="preserve">also be suitable for first time buyers. </w:t>
      </w:r>
      <w:r w:rsidR="003961BC">
        <w:t>Increasing the supply</w:t>
      </w:r>
      <w:r w:rsidR="00D76CEE">
        <w:t xml:space="preserve"> homes of this size may also be suitable for meeting social/affordable </w:t>
      </w:r>
      <w:r w:rsidR="00302880">
        <w:t>need and</w:t>
      </w:r>
      <w:r w:rsidR="00D76CEE">
        <w:t xml:space="preserve"> could hel</w:t>
      </w:r>
      <w:r w:rsidR="00FD2171">
        <w:t xml:space="preserve">p reduce the significant housing waiting list. </w:t>
      </w:r>
    </w:p>
    <w:p w14:paraId="7B9462B2" w14:textId="5BD1BA8C" w:rsidR="00CD42DF" w:rsidRPr="008D5C03" w:rsidRDefault="00A35607" w:rsidP="0076781A">
      <w:pPr>
        <w:pStyle w:val="ListBullet"/>
        <w:numPr>
          <w:ilvl w:val="0"/>
          <w:numId w:val="44"/>
        </w:numPr>
        <w:tabs>
          <w:tab w:val="clear" w:pos="425"/>
        </w:tabs>
        <w:ind w:left="1276"/>
        <w:jc w:val="both"/>
      </w:pPr>
      <w:r>
        <w:t xml:space="preserve">Despite the high proportion of </w:t>
      </w:r>
      <w:r w:rsidR="003961BC">
        <w:t>3-bedroom</w:t>
      </w:r>
      <w:r>
        <w:t xml:space="preserve"> homes in the NA, these homes may </w:t>
      </w:r>
      <w:r w:rsidR="003961BC">
        <w:t xml:space="preserve">still be the most appealing </w:t>
      </w:r>
      <w:r w:rsidR="00433103">
        <w:t xml:space="preserve">option for first time buyers and newly forming </w:t>
      </w:r>
      <w:r w:rsidR="00FE3D36">
        <w:t>families and</w:t>
      </w:r>
      <w:r w:rsidR="00441713">
        <w:t xml:space="preserve"> may also </w:t>
      </w:r>
      <w:r w:rsidR="00166A8D">
        <w:t xml:space="preserve">present a good balance between affordability and </w:t>
      </w:r>
      <w:r w:rsidR="00FE3D36">
        <w:t>viability constraints</w:t>
      </w:r>
      <w:r w:rsidR="00433103">
        <w:t xml:space="preserve">. As such, there would be justification for deviating from the model results presented above and providing more moderately sized homes, if this aligned with the desires of the community. </w:t>
      </w:r>
    </w:p>
    <w:p w14:paraId="36A41519" w14:textId="77777777" w:rsidR="003B3C47" w:rsidRPr="008D5C03" w:rsidRDefault="003B3C47" w:rsidP="00B50B20">
      <w:pPr>
        <w:keepNext/>
        <w:keepLines/>
        <w:tabs>
          <w:tab w:val="clear" w:pos="284"/>
        </w:tabs>
        <w:spacing w:before="240" w:after="120" w:line="240" w:lineRule="auto"/>
        <w:ind w:firstLine="720"/>
        <w:jc w:val="both"/>
        <w:outlineLvl w:val="2"/>
        <w:rPr>
          <w:rFonts w:asciiTheme="majorHAnsi" w:eastAsiaTheme="majorEastAsia" w:hAnsiTheme="majorHAnsi" w:cstheme="majorBidi"/>
          <w:b/>
          <w:bCs/>
          <w:sz w:val="30"/>
        </w:rPr>
      </w:pPr>
      <w:r w:rsidRPr="008D5C03">
        <w:rPr>
          <w:rFonts w:asciiTheme="majorHAnsi" w:eastAsiaTheme="majorEastAsia" w:hAnsiTheme="majorHAnsi" w:cstheme="majorBidi"/>
          <w:b/>
          <w:bCs/>
          <w:sz w:val="30"/>
        </w:rPr>
        <w:lastRenderedPageBreak/>
        <w:t>Tenure</w:t>
      </w:r>
    </w:p>
    <w:p w14:paraId="4FCA4336" w14:textId="04F26742" w:rsidR="003B3C47" w:rsidRDefault="003B3C47" w:rsidP="00252C91">
      <w:pPr>
        <w:pStyle w:val="Numberedtext"/>
        <w:jc w:val="both"/>
      </w:pPr>
      <w:r w:rsidRPr="008D5C03">
        <w:t xml:space="preserve">The recommendation discussed immediately above applies to all housing in the NA over </w:t>
      </w:r>
      <w:r w:rsidR="0096304E">
        <w:t>the Neighbourhood Plan period</w:t>
      </w:r>
      <w:r w:rsidRPr="008D5C03">
        <w:t>. This is considered proportionate for devising policy at neighbourhood scale. However, in practice different size mixes may be appropriate for market housing and Affordable Housing. While this distinction may not be appropriate to make in Neighbourhood Plan policy, since Local Authorities tend to define the precise mix of Affordable Housing required on applicable sites, it is worth thinking through the factors at play.</w:t>
      </w:r>
    </w:p>
    <w:p w14:paraId="1D81545F" w14:textId="79BAD215" w:rsidR="003B3C47" w:rsidRDefault="003B3C47" w:rsidP="00252C91">
      <w:pPr>
        <w:pStyle w:val="Numberedtext"/>
        <w:jc w:val="both"/>
      </w:pPr>
      <w:proofErr w:type="gramStart"/>
      <w:r w:rsidRPr="008D5C03">
        <w:t>Generally speaking, the</w:t>
      </w:r>
      <w:proofErr w:type="gramEnd"/>
      <w:r w:rsidRPr="008D5C03">
        <w:t xml:space="preserve"> size mix needed within affordable tenures, particularly affordable and social rent, is smaller than the size mix of market housing. This is because </w:t>
      </w:r>
      <w:r w:rsidR="005C5DE4">
        <w:t>many households</w:t>
      </w:r>
      <w:r w:rsidR="004B1470">
        <w:t xml:space="preserve"> (including couples and some families with children)</w:t>
      </w:r>
      <w:r w:rsidRPr="008D5C03">
        <w:t xml:space="preserve"> are likely to be eligible only for </w:t>
      </w:r>
      <w:proofErr w:type="gramStart"/>
      <w:r w:rsidRPr="008D5C03">
        <w:t>1 or 2 bedroom</w:t>
      </w:r>
      <w:proofErr w:type="gramEnd"/>
      <w:r w:rsidRPr="008D5C03">
        <w:t xml:space="preserve"> properties. In contrast, people buying their own homes tend to want more space than they technically ‘need’, such as spare rooms for guests, home working or other uses. This fact is established in the data on under-occupancy presented earlier in this chapter. </w:t>
      </w:r>
    </w:p>
    <w:p w14:paraId="058E8D9E" w14:textId="77777777" w:rsidR="003B3C47" w:rsidRPr="008D5C03" w:rsidRDefault="003B3C47" w:rsidP="00252C91">
      <w:pPr>
        <w:pStyle w:val="Numberedtext"/>
        <w:jc w:val="both"/>
      </w:pPr>
      <w:r w:rsidRPr="008D5C03">
        <w:t>There are three key sources of information for thinking through the size needs of different categories. These are:</w:t>
      </w:r>
    </w:p>
    <w:p w14:paraId="48DB965A" w14:textId="7D88D044" w:rsidR="003B3C47" w:rsidRDefault="003B3C47" w:rsidP="00252C91">
      <w:pPr>
        <w:pStyle w:val="ListBullet"/>
        <w:jc w:val="both"/>
      </w:pPr>
      <w:r w:rsidRPr="008D5C03">
        <w:t xml:space="preserve">The relevant SHMA or LHNA for the Local Authority, which will (usually) set out the projected need by size within each tenure over the long-term. In this case, the SHMA </w:t>
      </w:r>
      <w:r w:rsidR="002C63AB">
        <w:t>(2019) mix for affordable housing is as follows:</w:t>
      </w:r>
      <w:r>
        <w:t xml:space="preserve"> </w:t>
      </w:r>
      <w:r w:rsidRPr="008D5C03">
        <w:t xml:space="preserve"> </w:t>
      </w:r>
    </w:p>
    <w:p w14:paraId="46DF1954" w14:textId="46C1BF41" w:rsidR="006E2CB8" w:rsidRDefault="006E2CB8" w:rsidP="00ED4704">
      <w:pPr>
        <w:pStyle w:val="ListBullet"/>
        <w:numPr>
          <w:ilvl w:val="0"/>
          <w:numId w:val="45"/>
        </w:numPr>
        <w:tabs>
          <w:tab w:val="clear" w:pos="425"/>
          <w:tab w:val="num" w:pos="1843"/>
        </w:tabs>
        <w:ind w:left="1701" w:hanging="283"/>
      </w:pPr>
      <w:r>
        <w:t>1 bed: 27%</w:t>
      </w:r>
    </w:p>
    <w:p w14:paraId="77DB7F0F" w14:textId="369216F4" w:rsidR="006E2CB8" w:rsidRDefault="006E2CB8" w:rsidP="00ED4704">
      <w:pPr>
        <w:pStyle w:val="ListBullet"/>
        <w:numPr>
          <w:ilvl w:val="0"/>
          <w:numId w:val="45"/>
        </w:numPr>
        <w:tabs>
          <w:tab w:val="clear" w:pos="425"/>
          <w:tab w:val="num" w:pos="1843"/>
        </w:tabs>
        <w:ind w:left="1701" w:hanging="283"/>
      </w:pPr>
      <w:r>
        <w:t xml:space="preserve">2-bed: </w:t>
      </w:r>
      <w:r w:rsidR="005B6FF2">
        <w:t>45</w:t>
      </w:r>
      <w:r>
        <w:t>%</w:t>
      </w:r>
    </w:p>
    <w:p w14:paraId="3AA65098" w14:textId="359F2852" w:rsidR="006E2CB8" w:rsidRDefault="006E2CB8" w:rsidP="00ED4704">
      <w:pPr>
        <w:pStyle w:val="ListBullet"/>
        <w:numPr>
          <w:ilvl w:val="0"/>
          <w:numId w:val="45"/>
        </w:numPr>
        <w:tabs>
          <w:tab w:val="clear" w:pos="425"/>
          <w:tab w:val="num" w:pos="1843"/>
        </w:tabs>
        <w:ind w:left="1701" w:hanging="283"/>
      </w:pPr>
      <w:r>
        <w:t xml:space="preserve">3-bed: </w:t>
      </w:r>
      <w:r w:rsidR="005B6FF2">
        <w:t>23</w:t>
      </w:r>
      <w:r>
        <w:t>%</w:t>
      </w:r>
    </w:p>
    <w:p w14:paraId="22225F36" w14:textId="51249DC7" w:rsidR="002C63AB" w:rsidRPr="008D5C03" w:rsidRDefault="006E2CB8" w:rsidP="00ED4704">
      <w:pPr>
        <w:pStyle w:val="ListBullet"/>
        <w:numPr>
          <w:ilvl w:val="0"/>
          <w:numId w:val="45"/>
        </w:numPr>
        <w:tabs>
          <w:tab w:val="clear" w:pos="425"/>
          <w:tab w:val="num" w:pos="1843"/>
        </w:tabs>
        <w:ind w:left="1701" w:hanging="283"/>
      </w:pPr>
      <w:r>
        <w:t xml:space="preserve">4+ bed: </w:t>
      </w:r>
      <w:r w:rsidR="00ED4704">
        <w:t>4</w:t>
      </w:r>
      <w:r>
        <w:t>%</w:t>
      </w:r>
    </w:p>
    <w:p w14:paraId="2B23DE20" w14:textId="35E94DFC" w:rsidR="003B3C47" w:rsidRDefault="003B3C47" w:rsidP="00252C91">
      <w:pPr>
        <w:pStyle w:val="ListBullet"/>
        <w:jc w:val="both"/>
      </w:pPr>
      <w:r w:rsidRPr="008D5C03">
        <w:t>The waiting list for affordable rented housing, kept by the Local Authority. This provides a more current snapshot of the size needs of applicant households. As this changes over time, individual planning applications can be decided in ways that meet evolving needs. In this case</w:t>
      </w:r>
      <w:r w:rsidR="001B4406">
        <w:t xml:space="preserve">, </w:t>
      </w:r>
      <w:r w:rsidR="00462B2A">
        <w:t xml:space="preserve">County Durham council where unable to provide a </w:t>
      </w:r>
      <w:r w:rsidR="00FE3D36">
        <w:t xml:space="preserve">full </w:t>
      </w:r>
      <w:r w:rsidR="000845A1">
        <w:t xml:space="preserve">breakdown of </w:t>
      </w:r>
      <w:r w:rsidR="001B4406">
        <w:t>size preference</w:t>
      </w:r>
      <w:r w:rsidR="00FE3D36">
        <w:t>s</w:t>
      </w:r>
      <w:r w:rsidR="001B4406">
        <w:t xml:space="preserve"> </w:t>
      </w:r>
      <w:r w:rsidR="00462B2A">
        <w:t xml:space="preserve">on the affordable </w:t>
      </w:r>
      <w:r w:rsidR="000845A1">
        <w:t xml:space="preserve">housing waiting list. But they have indicated that the greatest need is for 2-bed homes. </w:t>
      </w:r>
      <w:r>
        <w:t xml:space="preserve"> </w:t>
      </w:r>
    </w:p>
    <w:p w14:paraId="1A0D4CE4" w14:textId="2D097A82" w:rsidR="003B3C47" w:rsidRPr="008D5C03" w:rsidRDefault="003B3C47" w:rsidP="00252C91">
      <w:pPr>
        <w:pStyle w:val="ListBullet"/>
        <w:jc w:val="both"/>
      </w:pPr>
      <w:r w:rsidRPr="008D5C03">
        <w:t>An</w:t>
      </w:r>
      <w:r>
        <w:t>y</w:t>
      </w:r>
      <w:r w:rsidRPr="008D5C03">
        <w:t xml:space="preserve"> relevant household survey or consultation work in the NA can also highlight any specific gaps in the market within </w:t>
      </w:r>
      <w:proofErr w:type="gramStart"/>
      <w:r w:rsidRPr="008D5C03">
        <w:t>particular segments</w:t>
      </w:r>
      <w:proofErr w:type="gramEnd"/>
      <w:r w:rsidRPr="008D5C03">
        <w:t xml:space="preserve"> of the population. </w:t>
      </w:r>
    </w:p>
    <w:p w14:paraId="0B4B8373" w14:textId="77777777" w:rsidR="003B3C47" w:rsidRPr="008D5C03" w:rsidRDefault="003B3C47" w:rsidP="00252C91">
      <w:pPr>
        <w:pStyle w:val="Numberedtext"/>
        <w:jc w:val="both"/>
      </w:pPr>
      <w:r w:rsidRPr="008D5C03">
        <w:t xml:space="preserve">To </w:t>
      </w:r>
      <w:proofErr w:type="spellStart"/>
      <w:r w:rsidRPr="008D5C03">
        <w:t>summarise</w:t>
      </w:r>
      <w:proofErr w:type="spellEnd"/>
      <w:r w:rsidRPr="008D5C03">
        <w:t xml:space="preserve">, the overall size mix recommendation presented above applies generally to new housing in the NA. Within this mix, Affordable Housing might require a greater weighting towards smaller sizes while market homes focus on mid-sized homes and some larger options. It is not </w:t>
      </w:r>
      <w:r>
        <w:t>necessary (and is potentially not appropriate)</w:t>
      </w:r>
      <w:r w:rsidRPr="008D5C03">
        <w:t xml:space="preserve"> for Neighbourhood Plans to be prescriptive about the size mix within different tenures, but a range of data sources exist that indicate a direction of travel, which Local </w:t>
      </w:r>
      <w:r>
        <w:t xml:space="preserve">Planning </w:t>
      </w:r>
      <w:r w:rsidRPr="008D5C03">
        <w:t xml:space="preserve">Authorities will draw upon when determining applications, and which it is possible for the neighbourhood planners to monitor. </w:t>
      </w:r>
    </w:p>
    <w:p w14:paraId="02F887CC" w14:textId="61FE0712" w:rsidR="003B3C47" w:rsidRPr="000845A1" w:rsidRDefault="003B3C47" w:rsidP="000845A1">
      <w:pPr>
        <w:pStyle w:val="Heading2"/>
        <w:jc w:val="both"/>
        <w:rPr>
          <w:color w:val="auto"/>
        </w:rPr>
      </w:pPr>
      <w:bookmarkStart w:id="149" w:name="_Toc31722666"/>
      <w:bookmarkStart w:id="150" w:name="_Toc102731874"/>
      <w:r w:rsidRPr="003C03B9">
        <w:rPr>
          <w:color w:val="auto"/>
        </w:rPr>
        <w:lastRenderedPageBreak/>
        <w:t>Conclusions- Type and Size</w:t>
      </w:r>
      <w:bookmarkEnd w:id="149"/>
      <w:bookmarkEnd w:id="150"/>
    </w:p>
    <w:p w14:paraId="137E45CC" w14:textId="77777777" w:rsidR="003B3C47" w:rsidRPr="003C03B9" w:rsidRDefault="003B3C47" w:rsidP="00252C91">
      <w:pPr>
        <w:pStyle w:val="Heading4"/>
        <w:jc w:val="both"/>
        <w:rPr>
          <w:color w:val="auto"/>
        </w:rPr>
      </w:pPr>
      <w:r w:rsidRPr="003C03B9">
        <w:rPr>
          <w:color w:val="auto"/>
        </w:rPr>
        <w:t>The current housing mix</w:t>
      </w:r>
    </w:p>
    <w:p w14:paraId="761BF0CE" w14:textId="0AAEBA57" w:rsidR="00D518DD" w:rsidRPr="00635183" w:rsidRDefault="00D518DD" w:rsidP="00233A1C">
      <w:pPr>
        <w:pStyle w:val="Numberedtext"/>
        <w:jc w:val="both"/>
      </w:pPr>
      <w:r w:rsidRPr="00635183">
        <w:t>The c</w:t>
      </w:r>
      <w:r>
        <w:t>u</w:t>
      </w:r>
      <w:r w:rsidRPr="00635183">
        <w:t>rrent dwelling mix in Consett is dominated by semi-detached and terraced dwellings, which cumulatively make up three quarters of the overall housing stock. The remainder is made up of detached dwellings and a very small number of flats. The dwelling mix generally reflects the average across County Durham, other tha</w:t>
      </w:r>
      <w:r w:rsidR="00864003">
        <w:t>n</w:t>
      </w:r>
      <w:r w:rsidRPr="00635183">
        <w:t xml:space="preserve"> some minor proportional variation within each dwelling category. </w:t>
      </w:r>
    </w:p>
    <w:p w14:paraId="6E486EC9" w14:textId="1A6ECA26" w:rsidR="003B3C47" w:rsidRPr="003C03B9" w:rsidRDefault="00D518DD" w:rsidP="00233A1C">
      <w:pPr>
        <w:pStyle w:val="Numberedtext"/>
        <w:jc w:val="both"/>
      </w:pPr>
      <w:r w:rsidRPr="00635183">
        <w:t>In terms of size, the profile of homes in Consett generally tracks th</w:t>
      </w:r>
      <w:r w:rsidR="00864003">
        <w:t>e size mix seen across</w:t>
      </w:r>
      <w:r w:rsidRPr="00635183">
        <w:t xml:space="preserve"> County Durham in proportional terms. Both areas are </w:t>
      </w:r>
      <w:proofErr w:type="spellStart"/>
      <w:r w:rsidRPr="00635183">
        <w:t>characterised</w:t>
      </w:r>
      <w:proofErr w:type="spellEnd"/>
      <w:r w:rsidRPr="00635183">
        <w:t xml:space="preserve"> by a higher proportion of 3-bedroom and </w:t>
      </w:r>
      <w:r w:rsidR="00864003" w:rsidRPr="00635183">
        <w:t>2-bedroom</w:t>
      </w:r>
      <w:r w:rsidRPr="00635183">
        <w:t xml:space="preserve"> homes and a correspondingly fewer 4+ bedroom homes. Both Consett and County Durham have a small supply of 1- bedroom homes. </w:t>
      </w:r>
    </w:p>
    <w:p w14:paraId="6BCF1764" w14:textId="77777777" w:rsidR="003B3C47" w:rsidRPr="003C03B9" w:rsidRDefault="003B3C47" w:rsidP="00233A1C">
      <w:pPr>
        <w:pStyle w:val="Heading4"/>
        <w:jc w:val="both"/>
        <w:rPr>
          <w:color w:val="auto"/>
        </w:rPr>
      </w:pPr>
      <w:r w:rsidRPr="003C03B9">
        <w:rPr>
          <w:color w:val="auto"/>
        </w:rPr>
        <w:t>Population characteristics</w:t>
      </w:r>
    </w:p>
    <w:p w14:paraId="1EA643BA" w14:textId="3CD8943F" w:rsidR="00570539" w:rsidRPr="008606A7" w:rsidRDefault="00570539" w:rsidP="00233A1C">
      <w:pPr>
        <w:pStyle w:val="Numberedtext"/>
        <w:jc w:val="both"/>
      </w:pPr>
      <w:r>
        <w:t xml:space="preserve">The Consett population appears to have grown by 4% over the last decade. There is a distinction between the trajectories of the younger and older population in Consett, with </w:t>
      </w:r>
      <w:proofErr w:type="gramStart"/>
      <w:r>
        <w:t>the majority of</w:t>
      </w:r>
      <w:proofErr w:type="gramEnd"/>
      <w:r>
        <w:t xml:space="preserve"> </w:t>
      </w:r>
      <w:proofErr w:type="gramStart"/>
      <w:r>
        <w:t>population</w:t>
      </w:r>
      <w:proofErr w:type="gramEnd"/>
      <w:r>
        <w:t xml:space="preserve"> grown being experienced in the older age groups (notably those aged between 65-84). Correspondingly, there ha</w:t>
      </w:r>
      <w:r w:rsidR="00CB3720">
        <w:t>s been</w:t>
      </w:r>
      <w:r>
        <w:t xml:space="preserve"> much slower growth in younger age groups. </w:t>
      </w:r>
    </w:p>
    <w:p w14:paraId="02C159A2" w14:textId="50BEFE4B" w:rsidR="003B3C47" w:rsidRPr="003C03B9" w:rsidRDefault="00570539" w:rsidP="00233A1C">
      <w:pPr>
        <w:pStyle w:val="Numberedtext"/>
        <w:jc w:val="both"/>
      </w:pPr>
      <w:r w:rsidRPr="008606A7">
        <w:t xml:space="preserve">Household projections suggest that </w:t>
      </w:r>
      <w:r w:rsidR="00CB3720">
        <w:t>Consett</w:t>
      </w:r>
      <w:r w:rsidRPr="008606A7">
        <w:t xml:space="preserve">’s population will continue to age over the NP period, with a potential 55% increase in the population aged 65 and over. The projections also suggest that the younger population cohorts in the NA will grow at a much slower rate.  It should be noted that these estimates are informed by population projections for the wider district and may be more moderate </w:t>
      </w:r>
      <w:proofErr w:type="gramStart"/>
      <w:r w:rsidRPr="008606A7">
        <w:t>in reality given</w:t>
      </w:r>
      <w:proofErr w:type="gramEnd"/>
      <w:r w:rsidRPr="008606A7">
        <w:t xml:space="preserve"> recent development in the NA and apparent in-migration of younger family households.</w:t>
      </w:r>
    </w:p>
    <w:p w14:paraId="4E984A88" w14:textId="77777777" w:rsidR="003B3C47" w:rsidRPr="003C03B9" w:rsidRDefault="003B3C47" w:rsidP="00233A1C">
      <w:pPr>
        <w:pStyle w:val="Heading4"/>
        <w:jc w:val="both"/>
        <w:rPr>
          <w:color w:val="auto"/>
        </w:rPr>
      </w:pPr>
      <w:r w:rsidRPr="003C03B9">
        <w:rPr>
          <w:color w:val="auto"/>
        </w:rPr>
        <w:t>Future population and size needs</w:t>
      </w:r>
    </w:p>
    <w:p w14:paraId="6F70A5F9" w14:textId="554FFD8C" w:rsidR="00233A1C" w:rsidRPr="001B6D4F" w:rsidRDefault="00233A1C" w:rsidP="00233A1C">
      <w:pPr>
        <w:pStyle w:val="Numberedtext"/>
        <w:jc w:val="both"/>
      </w:pPr>
      <w:r w:rsidRPr="001B6D4F">
        <w:t xml:space="preserve">It is possible to estimate the size mix of future homes that might best accommodate demographic trends and address imbalances in the existing housing stock. The result of this process suggests that new development should deliver a variety of dwelling </w:t>
      </w:r>
      <w:proofErr w:type="gramStart"/>
      <w:r w:rsidRPr="001B6D4F">
        <w:t>sizes</w:t>
      </w:r>
      <w:r w:rsidR="003815E4">
        <w:t>, but</w:t>
      </w:r>
      <w:proofErr w:type="gramEnd"/>
      <w:r w:rsidR="003815E4">
        <w:t xml:space="preserve"> focus on homes with between 1 and 2 bedrooms</w:t>
      </w:r>
      <w:r w:rsidRPr="001B6D4F">
        <w:t>.</w:t>
      </w:r>
    </w:p>
    <w:p w14:paraId="4F9C4687" w14:textId="547402A9" w:rsidR="00233A1C" w:rsidRPr="001B6D4F" w:rsidRDefault="00233A1C" w:rsidP="00233A1C">
      <w:pPr>
        <w:pStyle w:val="Numberedtext"/>
        <w:jc w:val="both"/>
      </w:pPr>
      <w:r w:rsidRPr="001B6D4F">
        <w:t xml:space="preserve">For </w:t>
      </w:r>
      <w:r w:rsidR="00BF17A8">
        <w:t>Consett</w:t>
      </w:r>
      <w:r w:rsidRPr="001B6D4F">
        <w:t xml:space="preserve">, the model recommends future housing delivery should deliver a range of dwelling sizes, by with a focus on </w:t>
      </w:r>
      <w:r w:rsidR="00BF17A8" w:rsidRPr="001B6D4F">
        <w:t>1- or 2-bedroom</w:t>
      </w:r>
      <w:r w:rsidRPr="001B6D4F">
        <w:t xml:space="preserve"> homes (75%), which is slightly higher than the recommendation in the County Durham SHMA. </w:t>
      </w:r>
    </w:p>
    <w:p w14:paraId="43702377" w14:textId="1E43341F" w:rsidR="003B3C47" w:rsidRPr="003C03B9" w:rsidRDefault="00233A1C" w:rsidP="00233A1C">
      <w:pPr>
        <w:pStyle w:val="Numberedtext"/>
        <w:jc w:val="both"/>
      </w:pPr>
      <w:r w:rsidRPr="001B6D4F">
        <w:t xml:space="preserve">However, if </w:t>
      </w:r>
      <w:r w:rsidRPr="00BF17A8">
        <w:t xml:space="preserve">the Consett Neighbourhood Plan </w:t>
      </w:r>
      <w:r w:rsidR="00CB3720" w:rsidRPr="00BF17A8">
        <w:t>Forum</w:t>
      </w:r>
      <w:r w:rsidRPr="001B6D4F">
        <w:t xml:space="preserve"> are seeking to improve affordability in the NA there may be justification to provide more smaller and modest sized homes (1 and 2 bed homes) to improve downsizing opportunities and modest sized homes for younger people. This does not ensure new homes will be affordable to these households and may still present the </w:t>
      </w:r>
      <w:r>
        <w:t xml:space="preserve">affordability </w:t>
      </w:r>
      <w:r w:rsidRPr="001B6D4F">
        <w:t xml:space="preserve">barriers explained in the </w:t>
      </w:r>
      <w:r>
        <w:t>previous section.</w:t>
      </w:r>
      <w:r w:rsidRPr="001B6D4F">
        <w:t xml:space="preserve"> Nonetheless, provision of some smaller properties means they are likely to be relatively more affordable compared to much larger properties.</w:t>
      </w:r>
    </w:p>
    <w:p w14:paraId="5FBAD38F" w14:textId="483483C5" w:rsidR="003B3C47" w:rsidRPr="003E763A" w:rsidRDefault="003B3C47" w:rsidP="00252C91">
      <w:pPr>
        <w:pStyle w:val="Numberedtext"/>
        <w:jc w:val="both"/>
      </w:pPr>
      <w:r w:rsidRPr="003C03B9">
        <w:lastRenderedPageBreak/>
        <w:t xml:space="preserve">It is important to remember that other factors should be considered in determining the dwelling mix that is desirable in the NA or on any </w:t>
      </w:r>
      <w:proofErr w:type="gramStart"/>
      <w:r w:rsidRPr="003C03B9">
        <w:t>particular site</w:t>
      </w:r>
      <w:proofErr w:type="gramEnd"/>
      <w:r w:rsidRPr="003C03B9">
        <w:t xml:space="preserve">. These include the specific characteristics </w:t>
      </w:r>
      <w:r w:rsidRPr="00E75A98">
        <w:t>of the nearby stock of housing (such as its condition and design), the role of the NA or site within the wider housing market area (linked to any Local Authority strategies or plans) and site-specific factors.</w:t>
      </w:r>
      <w:r>
        <w:br w:type="page"/>
      </w:r>
    </w:p>
    <w:p w14:paraId="1D530319" w14:textId="77777777" w:rsidR="003B3C47" w:rsidRPr="003C03B9" w:rsidRDefault="003B3C47" w:rsidP="00252C91">
      <w:pPr>
        <w:pStyle w:val="Heading1"/>
        <w:jc w:val="both"/>
        <w:rPr>
          <w:color w:val="auto"/>
        </w:rPr>
      </w:pPr>
      <w:bookmarkStart w:id="151" w:name="_Toc31722667"/>
      <w:bookmarkStart w:id="152" w:name="_Toc102731875"/>
      <w:bookmarkStart w:id="153" w:name="_Toc170398389"/>
      <w:bookmarkStart w:id="154" w:name="_Toc185339914"/>
      <w:r w:rsidRPr="003C03B9">
        <w:rPr>
          <w:color w:val="auto"/>
        </w:rPr>
        <w:lastRenderedPageBreak/>
        <w:t>Specialist housing for older people</w:t>
      </w:r>
      <w:bookmarkEnd w:id="151"/>
      <w:bookmarkEnd w:id="152"/>
      <w:bookmarkEnd w:id="153"/>
      <w:bookmarkEnd w:id="154"/>
    </w:p>
    <w:p w14:paraId="6D7D43D8" w14:textId="77777777" w:rsidR="003B3C47" w:rsidRPr="003C03B9" w:rsidRDefault="003B3C47" w:rsidP="00252C91">
      <w:pPr>
        <w:pStyle w:val="Heading2"/>
        <w:jc w:val="both"/>
        <w:rPr>
          <w:color w:val="auto"/>
        </w:rPr>
      </w:pPr>
      <w:bookmarkStart w:id="155" w:name="_Toc13235055"/>
      <w:bookmarkStart w:id="156" w:name="_Toc31722668"/>
      <w:bookmarkStart w:id="157" w:name="_Toc102731876"/>
      <w:r w:rsidRPr="003C03B9">
        <w:rPr>
          <w:color w:val="auto"/>
        </w:rPr>
        <w:t>Introduction</w:t>
      </w:r>
      <w:bookmarkEnd w:id="155"/>
      <w:bookmarkEnd w:id="156"/>
      <w:bookmarkEnd w:id="157"/>
    </w:p>
    <w:p w14:paraId="79A09C7E" w14:textId="109C7931" w:rsidR="003B3C47" w:rsidRPr="003C03B9" w:rsidRDefault="003B3C47" w:rsidP="00252C91">
      <w:pPr>
        <w:pStyle w:val="Numberedtext"/>
        <w:jc w:val="both"/>
        <w:rPr>
          <w:rFonts w:eastAsia="SimSun"/>
        </w:rPr>
      </w:pPr>
      <w:r w:rsidRPr="003C03B9">
        <w:t xml:space="preserve">It is relatively common for neighbourhood plans in areas with aging populations to include policies relating to specialist housing for older people. This chapter considers in detail the specialist housing needs of older people in </w:t>
      </w:r>
      <w:r w:rsidR="00D143F2" w:rsidRPr="00BB3B52">
        <w:t>Consett</w:t>
      </w:r>
      <w:r w:rsidRPr="00BB3B52">
        <w:t xml:space="preserve">. It focuses on specialist forms of provision but </w:t>
      </w:r>
      <w:proofErr w:type="spellStart"/>
      <w:r w:rsidRPr="00BB3B52">
        <w:t>recognises</w:t>
      </w:r>
      <w:proofErr w:type="spellEnd"/>
      <w:r w:rsidRPr="00BB3B52">
        <w:t xml:space="preserve"> that </w:t>
      </w:r>
      <w:proofErr w:type="gramStart"/>
      <w:r w:rsidRPr="00BB3B52">
        <w:t>the majority of</w:t>
      </w:r>
      <w:proofErr w:type="gramEnd"/>
      <w:r w:rsidRPr="003C03B9">
        <w:t xml:space="preserve"> older people will live in the mainstream housing stock. </w:t>
      </w:r>
      <w:r w:rsidRPr="003C03B9">
        <w:rPr>
          <w:rFonts w:eastAsia="SimSun"/>
        </w:rPr>
        <w:t>The approach is as follows:</w:t>
      </w:r>
    </w:p>
    <w:p w14:paraId="21A084B0" w14:textId="77777777" w:rsidR="003B3C47" w:rsidRPr="003C03B9" w:rsidRDefault="003B3C47" w:rsidP="00252C91">
      <w:pPr>
        <w:pStyle w:val="ListBullet"/>
        <w:jc w:val="both"/>
      </w:pPr>
      <w:r w:rsidRPr="003C03B9">
        <w:t xml:space="preserve">To review the </w:t>
      </w:r>
      <w:r w:rsidRPr="003C03B9">
        <w:rPr>
          <w:b/>
          <w:bCs/>
        </w:rPr>
        <w:t>current provision</w:t>
      </w:r>
      <w:r w:rsidRPr="003C03B9">
        <w:t xml:space="preserve"> of specialist housing in the </w:t>
      </w:r>
      <w:proofErr w:type="gramStart"/>
      <w:r w:rsidRPr="003C03B9">
        <w:t>NA;</w:t>
      </w:r>
      <w:proofErr w:type="gramEnd"/>
    </w:p>
    <w:p w14:paraId="260F119B" w14:textId="77777777" w:rsidR="003B3C47" w:rsidRPr="003C03B9" w:rsidRDefault="003B3C47" w:rsidP="00252C91">
      <w:pPr>
        <w:pStyle w:val="ListBullet"/>
        <w:jc w:val="both"/>
      </w:pPr>
      <w:r w:rsidRPr="003C03B9">
        <w:t xml:space="preserve">To estimate the </w:t>
      </w:r>
      <w:r w:rsidRPr="003C03B9">
        <w:rPr>
          <w:b/>
          <w:bCs/>
        </w:rPr>
        <w:t>potential demand</w:t>
      </w:r>
      <w:r w:rsidRPr="003C03B9">
        <w:t xml:space="preserve"> for this form of accommodation with reference to the projected growth in the older population and current rates of mobility limitation; and</w:t>
      </w:r>
    </w:p>
    <w:p w14:paraId="2B232D98" w14:textId="77777777" w:rsidR="003B3C47" w:rsidRPr="003C03B9" w:rsidRDefault="003B3C47" w:rsidP="00252C91">
      <w:pPr>
        <w:pStyle w:val="ListBullet"/>
        <w:jc w:val="both"/>
      </w:pPr>
      <w:r w:rsidRPr="003C03B9">
        <w:t xml:space="preserve">To discuss the potential for meeting this need through adaptations to the mainstream stock and other </w:t>
      </w:r>
      <w:r w:rsidRPr="003C03B9">
        <w:rPr>
          <w:b/>
          <w:bCs/>
        </w:rPr>
        <w:t>additional considerations</w:t>
      </w:r>
      <w:r w:rsidRPr="003C03B9">
        <w:t>.</w:t>
      </w:r>
    </w:p>
    <w:p w14:paraId="7F98E23A" w14:textId="77777777" w:rsidR="003B3C47" w:rsidRPr="003C03B9" w:rsidRDefault="003B3C47" w:rsidP="00252C91">
      <w:pPr>
        <w:pStyle w:val="Numberedtext"/>
        <w:jc w:val="both"/>
      </w:pPr>
      <w:r w:rsidRPr="003C03B9">
        <w:t>Because of the wide variation in the level of support needed, as well as the financial capabilities of those affected, the estimates of need presented here should be viewed with caution – as an idea of the broad scale of potential need rather than an obligatory target that must be met.</w:t>
      </w:r>
    </w:p>
    <w:p w14:paraId="272BCC40" w14:textId="77777777" w:rsidR="003B3C47" w:rsidRPr="003C03B9" w:rsidRDefault="003B3C47" w:rsidP="00252C91">
      <w:pPr>
        <w:pStyle w:val="Numberedtext"/>
        <w:jc w:val="both"/>
      </w:pPr>
      <w:r w:rsidRPr="003C03B9">
        <w:t xml:space="preserve">It is important to note that the need for housing for </w:t>
      </w:r>
      <w:proofErr w:type="gramStart"/>
      <w:r w:rsidRPr="003C03B9">
        <w:t>particular groups</w:t>
      </w:r>
      <w:proofErr w:type="gramEnd"/>
      <w:r w:rsidRPr="003C03B9">
        <w:t xml:space="preserve"> of people may well exceed, or be proportionally high in relation to, the total housing need or requirement. This is because the needs of </w:t>
      </w:r>
      <w:proofErr w:type="gramStart"/>
      <w:r w:rsidRPr="003C03B9">
        <w:t>particular groups</w:t>
      </w:r>
      <w:proofErr w:type="gramEnd"/>
      <w:r w:rsidRPr="003C03B9">
        <w:t xml:space="preserve"> will often be calculated having consideration to the whole population of an area as opposed to the projected new households which form the baseline for estimating housing need overall.</w:t>
      </w:r>
      <w:r w:rsidRPr="003C03B9">
        <w:rPr>
          <w:vertAlign w:val="superscript"/>
        </w:rPr>
        <w:footnoteReference w:id="11"/>
      </w:r>
    </w:p>
    <w:p w14:paraId="56476C6B" w14:textId="77777777" w:rsidR="003B3C47" w:rsidRPr="003C03B9" w:rsidRDefault="003B3C47" w:rsidP="00252C91">
      <w:pPr>
        <w:pStyle w:val="Numberedtext"/>
        <w:jc w:val="both"/>
      </w:pPr>
      <w:r w:rsidRPr="003C03B9">
        <w:t>This study covers the need for housing, i.e. buildings that the planning system classifies as Use Class C3 (private dwellings).</w:t>
      </w:r>
      <w:r w:rsidRPr="003C03B9">
        <w:rPr>
          <w:vertAlign w:val="superscript"/>
        </w:rPr>
        <w:footnoteReference w:id="12"/>
      </w:r>
      <w:r w:rsidRPr="003C03B9">
        <w:t xml:space="preserve"> Residences that fall into Use Class C2 (institutions including prisons, boarding schools and some care homes for older people) are largely beyond the scope of this research. However, it is possible to estimate the likely need for residential and nursing care over the Neighbourhood Plan period.</w:t>
      </w:r>
    </w:p>
    <w:p w14:paraId="0D17356B" w14:textId="77777777" w:rsidR="003B3C47" w:rsidRDefault="003B3C47" w:rsidP="00252C91">
      <w:pPr>
        <w:pStyle w:val="Numberedtext"/>
        <w:jc w:val="both"/>
      </w:pPr>
      <w:r w:rsidRPr="003C03B9">
        <w:t>The distinction between care homes for older people that fall into use class C2 and those where accommodation is counted as C3 is blurred. As such, the findings of this chapter may justify the provision of extra-care C3 housing and/or C2 care home units, but it is not possible to state definitively how much of each would be required. C3 specialist accommodation is typically self-contained with its own front door, made available on an individual basis with support provided in the home or not at all if the resident does not require it, and offered for sale or rent on the open market.</w:t>
      </w:r>
    </w:p>
    <w:p w14:paraId="55F51FD1" w14:textId="77777777" w:rsidR="00C2339A" w:rsidRPr="003C03B9" w:rsidRDefault="00C2339A" w:rsidP="00C2339A">
      <w:pPr>
        <w:pStyle w:val="Numberedtext"/>
        <w:numPr>
          <w:ilvl w:val="0"/>
          <w:numId w:val="0"/>
        </w:numPr>
        <w:ind w:left="811"/>
        <w:jc w:val="both"/>
      </w:pPr>
    </w:p>
    <w:p w14:paraId="4E68F69A" w14:textId="77777777" w:rsidR="003B3C47" w:rsidRPr="003C03B9" w:rsidRDefault="003B3C47" w:rsidP="00252C91">
      <w:pPr>
        <w:pStyle w:val="Heading3"/>
        <w:jc w:val="both"/>
        <w:rPr>
          <w:color w:val="auto"/>
        </w:rPr>
      </w:pPr>
      <w:bookmarkStart w:id="158" w:name="_Toc5696317"/>
      <w:bookmarkStart w:id="159" w:name="_Toc13235058"/>
      <w:bookmarkStart w:id="160" w:name="_Toc31722671"/>
      <w:bookmarkStart w:id="161" w:name="_Toc102731877"/>
      <w:r w:rsidRPr="003C03B9">
        <w:rPr>
          <w:color w:val="auto"/>
        </w:rPr>
        <w:lastRenderedPageBreak/>
        <w:t>Definitions</w:t>
      </w:r>
    </w:p>
    <w:p w14:paraId="2BC95CA5" w14:textId="77777777" w:rsidR="003B3C47" w:rsidRPr="003C03B9" w:rsidRDefault="003B3C47" w:rsidP="00252C91">
      <w:pPr>
        <w:pStyle w:val="ListBullet"/>
        <w:jc w:val="both"/>
      </w:pPr>
      <w:r w:rsidRPr="003C03B9">
        <w:rPr>
          <w:b/>
        </w:rPr>
        <w:t xml:space="preserve">Older people: </w:t>
      </w:r>
      <w:r w:rsidRPr="003C03B9">
        <w:t>people over retirement age, ranging from the active newly retired to the very frail elderly. Their housing needs tend to encompass accessible and adaptable general needs housing as well as the full spectrum of retirement and specialised housing offering additional care.</w:t>
      </w:r>
    </w:p>
    <w:p w14:paraId="66F3F297" w14:textId="77777777" w:rsidR="003B3C47" w:rsidRPr="003C03B9" w:rsidRDefault="003B3C47" w:rsidP="00252C91">
      <w:pPr>
        <w:pStyle w:val="ListBullet"/>
        <w:jc w:val="both"/>
        <w:rPr>
          <w:b/>
        </w:rPr>
      </w:pPr>
      <w:r w:rsidRPr="003C03B9">
        <w:rPr>
          <w:b/>
        </w:rPr>
        <w:t xml:space="preserve">Specialist housing for older people: </w:t>
      </w:r>
      <w:r w:rsidRPr="003C03B9">
        <w:t xml:space="preserve">a wide range of housing types specifically aimed at older people, which may often be restricted to those in certain older age groups. This could include residential institutions, sheltered housing, extra care housing, retirement housing and a range of other potential types of housing which has been designed and built to serve the needs of older people, including often providing care or other additional services. </w:t>
      </w:r>
    </w:p>
    <w:p w14:paraId="37AE8417" w14:textId="77777777" w:rsidR="003B3C47" w:rsidRPr="003C03B9" w:rsidRDefault="003B3C47" w:rsidP="00252C91">
      <w:pPr>
        <w:pStyle w:val="ListBullet"/>
        <w:jc w:val="both"/>
      </w:pPr>
      <w:r w:rsidRPr="003C03B9">
        <w:rPr>
          <w:b/>
        </w:rPr>
        <w:t>Sheltered Housing</w:t>
      </w:r>
      <w:r w:rsidRPr="003C03B9">
        <w:rPr>
          <w:rStyle w:val="FootnoteReference"/>
          <w:b/>
        </w:rPr>
        <w:footnoteReference w:id="13"/>
      </w:r>
      <w:r w:rsidRPr="003C03B9">
        <w:rPr>
          <w:b/>
        </w:rPr>
        <w:t xml:space="preserve">: </w:t>
      </w:r>
      <w:r w:rsidRPr="003C03B9">
        <w:rPr>
          <w:bCs/>
        </w:rPr>
        <w:t xml:space="preserve">self-contained </w:t>
      </w:r>
      <w:r w:rsidRPr="003C03B9">
        <w:t xml:space="preserve">flats or bungalows where all the residents are older people. Schemes </w:t>
      </w:r>
      <w:proofErr w:type="gramStart"/>
      <w:r w:rsidRPr="003C03B9">
        <w:t>on the whole</w:t>
      </w:r>
      <w:proofErr w:type="gramEnd"/>
      <w:r w:rsidRPr="003C03B9">
        <w:t xml:space="preserve"> provide independent, self-contained homes, either to rent or buy. Properties in most schemes have features like raised electric sockets, lowered worktops, walk-in showers, and so on, as well as being linked to an emergency alarm service. Some will be designed to accommodate wheelchair users. Managed schemes will also usually have some shared or communal facilities such as a lounge for residents to meet, a laundry, guest flats and gardens.</w:t>
      </w:r>
    </w:p>
    <w:p w14:paraId="3D0E3C26" w14:textId="77777777" w:rsidR="003B3C47" w:rsidRDefault="003B3C47" w:rsidP="00252C91">
      <w:pPr>
        <w:pStyle w:val="ListBullet"/>
        <w:jc w:val="both"/>
      </w:pPr>
      <w:r w:rsidRPr="003C03B9">
        <w:rPr>
          <w:b/>
        </w:rPr>
        <w:t xml:space="preserve">Extra Care Housing: </w:t>
      </w:r>
      <w:r w:rsidRPr="003C03B9">
        <w:rPr>
          <w:bCs/>
        </w:rPr>
        <w:t>h</w:t>
      </w:r>
      <w:r w:rsidRPr="003C03B9">
        <w:t>ousing which usually consists of purpose-built or adapted flats or bungalows with a medium to high level of care</w:t>
      </w:r>
      <w:r w:rsidRPr="00047BE3">
        <w:t xml:space="preserve"> available if required</w:t>
      </w:r>
      <w:r>
        <w:t>.</w:t>
      </w:r>
      <w:r w:rsidRPr="00047BE3">
        <w:t xml:space="preserve"> Residents </w:t>
      </w:r>
      <w:proofErr w:type="gramStart"/>
      <w:r w:rsidRPr="00047BE3">
        <w:t>are able to</w:t>
      </w:r>
      <w:proofErr w:type="gramEnd"/>
      <w:r w:rsidRPr="00047BE3">
        <w:t xml:space="preserve"> live independently with 24</w:t>
      </w:r>
      <w:r>
        <w:t>-</w:t>
      </w:r>
      <w:r w:rsidRPr="00047BE3">
        <w:t xml:space="preserve">hour access to support services and staff, and meals are </w:t>
      </w:r>
      <w:r>
        <w:t xml:space="preserve">often </w:t>
      </w:r>
      <w:r w:rsidRPr="00047BE3">
        <w:t xml:space="preserve">also available. In some cases, these developments are </w:t>
      </w:r>
      <w:r>
        <w:t>included in</w:t>
      </w:r>
      <w:r w:rsidRPr="00047BE3">
        <w:t xml:space="preserve"> retirement communities or villages - the intention is for residents to benefit from varying levels of care as time progresses.</w:t>
      </w:r>
    </w:p>
    <w:p w14:paraId="662656D1" w14:textId="77777777" w:rsidR="003B3C47" w:rsidRPr="004A3D97" w:rsidRDefault="003B3C47" w:rsidP="00252C91">
      <w:pPr>
        <w:pStyle w:val="ListBullet"/>
        <w:jc w:val="both"/>
      </w:pPr>
      <w:r>
        <w:rPr>
          <w:b/>
        </w:rPr>
        <w:t xml:space="preserve">Category M4(2): </w:t>
      </w:r>
      <w:r>
        <w:t>accessible and adaptable dwellings.</w:t>
      </w:r>
    </w:p>
    <w:p w14:paraId="67DD8809" w14:textId="77777777" w:rsidR="003B3C47" w:rsidRPr="00047BE3" w:rsidRDefault="003B3C47" w:rsidP="00252C91">
      <w:pPr>
        <w:pStyle w:val="ListBullet"/>
        <w:jc w:val="both"/>
      </w:pPr>
      <w:r>
        <w:rPr>
          <w:b/>
        </w:rPr>
        <w:t xml:space="preserve">Category M4(3): </w:t>
      </w:r>
      <w:r>
        <w:t>wheelchair user dwellings.</w:t>
      </w:r>
    </w:p>
    <w:p w14:paraId="38B8A1A1" w14:textId="77777777" w:rsidR="003B3C47" w:rsidRPr="003C03B9" w:rsidRDefault="003B3C47" w:rsidP="00252C91">
      <w:pPr>
        <w:pStyle w:val="Heading2"/>
        <w:jc w:val="both"/>
        <w:rPr>
          <w:color w:val="auto"/>
        </w:rPr>
      </w:pPr>
      <w:r w:rsidRPr="003C03B9">
        <w:rPr>
          <w:color w:val="auto"/>
        </w:rPr>
        <w:t>Specialist housing for older people</w:t>
      </w:r>
      <w:bookmarkEnd w:id="158"/>
      <w:bookmarkEnd w:id="159"/>
      <w:bookmarkEnd w:id="160"/>
      <w:bookmarkEnd w:id="161"/>
    </w:p>
    <w:p w14:paraId="1E1D6798" w14:textId="5E861D77" w:rsidR="003B3C47" w:rsidRPr="003C03B9" w:rsidRDefault="003B3C47" w:rsidP="00252C91">
      <w:pPr>
        <w:pStyle w:val="Numberedtext"/>
        <w:jc w:val="both"/>
      </w:pPr>
      <w:r w:rsidRPr="003C03B9">
        <w:t xml:space="preserve">There is a total of </w:t>
      </w:r>
      <w:r w:rsidR="00DB6A32">
        <w:t>317</w:t>
      </w:r>
      <w:r w:rsidRPr="003C03B9">
        <w:t xml:space="preserve"> units of specialist accommodation in the NA at present,</w:t>
      </w:r>
      <w:r w:rsidR="009F259E">
        <w:t xml:space="preserve"> 96% of which are socially rented</w:t>
      </w:r>
      <w:r w:rsidR="0048229F">
        <w:t xml:space="preserve"> with remainder available for leasehold purchase. It is also worth noting there are </w:t>
      </w:r>
      <w:proofErr w:type="gramStart"/>
      <w:r w:rsidR="0048229F">
        <w:t>a number of</w:t>
      </w:r>
      <w:proofErr w:type="gramEnd"/>
      <w:r w:rsidR="0048229F">
        <w:t xml:space="preserve"> additional specialist accommodation facilities (10) for which the exact number of </w:t>
      </w:r>
      <w:r w:rsidR="00D83C44">
        <w:t>specialist units</w:t>
      </w:r>
      <w:r w:rsidR="00115AA8">
        <w:t xml:space="preserve"> is unknown, as such provision of this housing type is likely to be higher than suggested by the figure above.</w:t>
      </w:r>
      <w:r w:rsidR="00AE6AB6">
        <w:t xml:space="preserve"> There are also </w:t>
      </w:r>
      <w:r w:rsidR="00DF75D6">
        <w:t>239 care home beds in Consett.</w:t>
      </w:r>
      <w:r w:rsidR="00115AA8">
        <w:t xml:space="preserve"> </w:t>
      </w:r>
      <w:r w:rsidRPr="003C03B9">
        <w:t>Details are provided in Appendix E.</w:t>
      </w:r>
    </w:p>
    <w:p w14:paraId="691BFE58" w14:textId="218E132C" w:rsidR="003B3C47" w:rsidRPr="003C03B9" w:rsidRDefault="003B3C47" w:rsidP="00252C91">
      <w:pPr>
        <w:pStyle w:val="Numberedtext"/>
        <w:jc w:val="both"/>
      </w:pPr>
      <w:r w:rsidRPr="003C03B9">
        <w:t xml:space="preserve">The 2021 Census indicates that at this time there were </w:t>
      </w:r>
      <w:r w:rsidR="00D974AD">
        <w:t>3,</w:t>
      </w:r>
      <w:r w:rsidR="005D02C5">
        <w:t xml:space="preserve">543 </w:t>
      </w:r>
      <w:r w:rsidRPr="003C03B9">
        <w:t>individuals aged 75 or over i</w:t>
      </w:r>
      <w:r w:rsidRPr="00C33798">
        <w:t xml:space="preserve">n </w:t>
      </w:r>
      <w:r w:rsidR="00D143F2" w:rsidRPr="00C33798">
        <w:t>Consett</w:t>
      </w:r>
      <w:r w:rsidRPr="00C33798">
        <w:t xml:space="preserve">. This suggests that current provision is in the region of </w:t>
      </w:r>
      <w:r w:rsidR="001B67A6" w:rsidRPr="00C33798">
        <w:t>89</w:t>
      </w:r>
      <w:r w:rsidRPr="00C33798">
        <w:t xml:space="preserve"> units per 1,000 of the 75+ population (a common measure of specialist housing supply). It is </w:t>
      </w:r>
      <w:r w:rsidRPr="00C33798">
        <w:lastRenderedPageBreak/>
        <w:t>relevant to note that the national average for England is 136 units per 1,000 of the 75+ population</w:t>
      </w:r>
      <w:r w:rsidRPr="00C33798">
        <w:rPr>
          <w:rStyle w:val="FootnoteReference"/>
        </w:rPr>
        <w:footnoteReference w:id="14"/>
      </w:r>
      <w:r w:rsidRPr="00C33798">
        <w:t>, so provision in the NA is</w:t>
      </w:r>
      <w:r w:rsidR="001B67A6" w:rsidRPr="00C33798">
        <w:t xml:space="preserve"> lower than the national average.</w:t>
      </w:r>
      <w:r w:rsidR="001B67A6">
        <w:t xml:space="preserve"> </w:t>
      </w:r>
    </w:p>
    <w:p w14:paraId="71F964C9" w14:textId="77777777" w:rsidR="003B3C47" w:rsidRPr="003C03B9" w:rsidRDefault="003B3C47" w:rsidP="00252C91">
      <w:pPr>
        <w:pStyle w:val="Heading3"/>
        <w:jc w:val="both"/>
        <w:rPr>
          <w:color w:val="auto"/>
        </w:rPr>
      </w:pPr>
      <w:bookmarkStart w:id="162" w:name="_Toc1491477"/>
      <w:bookmarkStart w:id="163" w:name="_Toc13235059"/>
      <w:bookmarkStart w:id="164" w:name="_Toc31722672"/>
      <w:bookmarkStart w:id="165" w:name="_Toc102731878"/>
      <w:r w:rsidRPr="003C03B9">
        <w:rPr>
          <w:color w:val="auto"/>
        </w:rPr>
        <w:t>Demographic characteristics</w:t>
      </w:r>
      <w:bookmarkEnd w:id="162"/>
      <w:bookmarkEnd w:id="163"/>
      <w:bookmarkEnd w:id="164"/>
      <w:bookmarkEnd w:id="165"/>
    </w:p>
    <w:p w14:paraId="079C65AA" w14:textId="184676F2" w:rsidR="003B3C47" w:rsidRPr="003F6AC2" w:rsidRDefault="003B3C47" w:rsidP="00252C91">
      <w:pPr>
        <w:pStyle w:val="Numberedtext"/>
        <w:jc w:val="both"/>
      </w:pPr>
      <w:r w:rsidRPr="003C03B9">
        <w:t xml:space="preserve">The starting point for estimating the need for specialist housing for older people is to project how the overall number of older </w:t>
      </w:r>
      <w:r w:rsidRPr="003F6AC2">
        <w:t xml:space="preserve">people in </w:t>
      </w:r>
      <w:r w:rsidR="00D143F2" w:rsidRPr="003F6AC2">
        <w:t>Consett</w:t>
      </w:r>
      <w:r w:rsidRPr="003F6AC2">
        <w:t xml:space="preserve"> is likely to change in future. This is calculated by extrapolating population projections from the ONS Sub-National Population Projections for </w:t>
      </w:r>
      <w:r w:rsidR="00A91C91" w:rsidRPr="003F6AC2">
        <w:t>County Durham</w:t>
      </w:r>
      <w:r w:rsidRPr="003F6AC2">
        <w:t xml:space="preserve">. </w:t>
      </w:r>
    </w:p>
    <w:p w14:paraId="16ABFEE1" w14:textId="4EEF752F" w:rsidR="00096668" w:rsidRPr="003F6AC2" w:rsidRDefault="000A380B" w:rsidP="00252C91">
      <w:pPr>
        <w:pStyle w:val="Numberedtext"/>
        <w:jc w:val="both"/>
      </w:pPr>
      <w:r w:rsidRPr="003F6AC2">
        <w:t xml:space="preserve">The results are set out in Table 6-1, which suggest that by 2040 over 75s will make up approximately </w:t>
      </w:r>
      <w:r w:rsidR="00F924ED" w:rsidRPr="003F6AC2">
        <w:t>14% of the overall population, up from 9% in 2021</w:t>
      </w:r>
      <w:r w:rsidR="003F6AC2" w:rsidRPr="003F6AC2">
        <w:t xml:space="preserve">. These projections generally follow the trend in the previous chapter, which suggests that although there has been a notable increase in younger family households, a strong feature population growth in expected amongst older age groups. </w:t>
      </w:r>
    </w:p>
    <w:p w14:paraId="15F4DAF1" w14:textId="7F45E05C" w:rsidR="003B3C47" w:rsidRPr="003C03B9" w:rsidRDefault="003B3C47" w:rsidP="00252C91">
      <w:pPr>
        <w:pStyle w:val="Numberedtext"/>
        <w:jc w:val="both"/>
      </w:pPr>
      <w:r w:rsidRPr="003C03B9">
        <w:t xml:space="preserve">A key assumption for the estimate given at the end of this section is that the older people living in the NA currently are already suitably accommodated, either because they occupy the existing stock of specialist accommodation, have made appropriate adaptations to their own homes or do not require support or adaptations. This is unlikely to be completely true, but it is not possible to determine how many such individuals are inadequately housed without evidence from a household survey (which itself may not give a complete picture). As such, the growth in the older population rather than the total at the end of </w:t>
      </w:r>
      <w:r w:rsidR="0096304E" w:rsidRPr="003C03B9">
        <w:t>the Neighbourhood Plan period</w:t>
      </w:r>
      <w:r w:rsidRPr="003C03B9">
        <w:t xml:space="preserve"> is the key output of this calculation.</w:t>
      </w:r>
    </w:p>
    <w:p w14:paraId="6D7FFB28" w14:textId="2BB631E0" w:rsidR="003B3C47" w:rsidRPr="00096668" w:rsidRDefault="003B3C47" w:rsidP="00252C91">
      <w:pPr>
        <w:keepNext/>
        <w:spacing w:after="120" w:line="276" w:lineRule="auto"/>
        <w:jc w:val="both"/>
        <w:rPr>
          <w:rFonts w:asciiTheme="majorHAnsi" w:hAnsiTheme="majorHAnsi"/>
          <w:b/>
          <w:bCs/>
        </w:rPr>
      </w:pPr>
      <w:bookmarkStart w:id="166" w:name="_Ref1030637"/>
      <w:r w:rsidRPr="00096668">
        <w:rPr>
          <w:rFonts w:asciiTheme="majorHAnsi" w:hAnsiTheme="majorHAnsi"/>
          <w:b/>
          <w:bCs/>
        </w:rPr>
        <w:t>Tab</w:t>
      </w:r>
      <w:bookmarkEnd w:id="166"/>
      <w:r w:rsidRPr="00096668">
        <w:rPr>
          <w:rFonts w:asciiTheme="majorHAnsi" w:hAnsiTheme="majorHAnsi"/>
          <w:b/>
          <w:bCs/>
        </w:rPr>
        <w:t xml:space="preserve">le </w:t>
      </w:r>
      <w:r w:rsidR="00096668" w:rsidRPr="00096668">
        <w:rPr>
          <w:rFonts w:asciiTheme="majorHAnsi" w:hAnsiTheme="majorHAnsi"/>
          <w:b/>
          <w:bCs/>
        </w:rPr>
        <w:t>6-1</w:t>
      </w:r>
      <w:r w:rsidRPr="00096668">
        <w:rPr>
          <w:rFonts w:asciiTheme="majorHAnsi" w:hAnsiTheme="majorHAnsi"/>
          <w:b/>
          <w:bCs/>
        </w:rPr>
        <w:t xml:space="preserve">: Modelled projection of older population in </w:t>
      </w:r>
      <w:r w:rsidR="00D143F2" w:rsidRPr="00096668">
        <w:rPr>
          <w:rFonts w:asciiTheme="majorHAnsi" w:hAnsiTheme="majorHAnsi"/>
          <w:b/>
          <w:bCs/>
        </w:rPr>
        <w:t>Consett</w:t>
      </w:r>
      <w:r w:rsidRPr="00096668">
        <w:rPr>
          <w:rFonts w:asciiTheme="majorHAnsi" w:hAnsiTheme="majorHAnsi"/>
          <w:b/>
          <w:bCs/>
        </w:rPr>
        <w:t xml:space="preserve"> by end of Plan period</w:t>
      </w:r>
    </w:p>
    <w:tbl>
      <w:tblPr>
        <w:tblStyle w:val="Style12"/>
        <w:tblW w:w="5000" w:type="pct"/>
        <w:tblInd w:w="-5" w:type="dxa"/>
        <w:tblLook w:val="04A0" w:firstRow="1" w:lastRow="0" w:firstColumn="1" w:lastColumn="0" w:noHBand="0" w:noVBand="1"/>
      </w:tblPr>
      <w:tblGrid>
        <w:gridCol w:w="1860"/>
        <w:gridCol w:w="1810"/>
        <w:gridCol w:w="2173"/>
        <w:gridCol w:w="1810"/>
        <w:gridCol w:w="2171"/>
      </w:tblGrid>
      <w:tr w:rsidR="003B3C47" w:rsidRPr="00096668" w14:paraId="49BCAC8F" w14:textId="77777777" w:rsidTr="00991661">
        <w:trPr>
          <w:cnfStyle w:val="100000000000" w:firstRow="1" w:lastRow="0" w:firstColumn="0" w:lastColumn="0" w:oddVBand="0" w:evenVBand="0" w:oddHBand="0" w:evenHBand="0" w:firstRowFirstColumn="0" w:firstRowLastColumn="0" w:lastRowFirstColumn="0" w:lastRowLastColumn="0"/>
          <w:trHeight w:val="101"/>
        </w:trPr>
        <w:tc>
          <w:tcPr>
            <w:tcW w:w="947" w:type="pct"/>
            <w:vMerge w:val="restart"/>
            <w:noWrap/>
            <w:vAlign w:val="center"/>
            <w:hideMark/>
          </w:tcPr>
          <w:p w14:paraId="61D322CB" w14:textId="77777777" w:rsidR="003B3C47" w:rsidRPr="00096668" w:rsidRDefault="003B3C47" w:rsidP="00252C91">
            <w:pPr>
              <w:spacing w:line="276" w:lineRule="auto"/>
              <w:ind w:left="0"/>
              <w:jc w:val="both"/>
              <w:rPr>
                <w:b/>
                <w:color w:val="FFFFFF" w:themeColor="background1"/>
              </w:rPr>
            </w:pPr>
            <w:r w:rsidRPr="00096668">
              <w:rPr>
                <w:b/>
                <w:color w:val="FFFFFF" w:themeColor="background1"/>
              </w:rPr>
              <w:t>Age group</w:t>
            </w:r>
          </w:p>
        </w:tc>
        <w:tc>
          <w:tcPr>
            <w:tcW w:w="2027" w:type="pct"/>
            <w:gridSpan w:val="2"/>
            <w:vAlign w:val="center"/>
          </w:tcPr>
          <w:p w14:paraId="7BEAA9EC" w14:textId="77777777" w:rsidR="003B3C47" w:rsidRPr="00096668" w:rsidRDefault="003B3C47" w:rsidP="00096668">
            <w:pPr>
              <w:spacing w:line="276" w:lineRule="auto"/>
              <w:ind w:left="0"/>
              <w:jc w:val="right"/>
              <w:rPr>
                <w:b/>
                <w:color w:val="FFFFFF" w:themeColor="background1"/>
              </w:rPr>
            </w:pPr>
            <w:r w:rsidRPr="00096668">
              <w:rPr>
                <w:b/>
                <w:color w:val="FFFFFF" w:themeColor="background1"/>
              </w:rPr>
              <w:t>2021</w:t>
            </w:r>
          </w:p>
        </w:tc>
        <w:tc>
          <w:tcPr>
            <w:tcW w:w="2027" w:type="pct"/>
            <w:gridSpan w:val="2"/>
            <w:vAlign w:val="center"/>
          </w:tcPr>
          <w:p w14:paraId="7485BD50" w14:textId="24CB076E" w:rsidR="003B3C47" w:rsidRPr="00096668" w:rsidRDefault="00096668" w:rsidP="00096668">
            <w:pPr>
              <w:spacing w:line="276" w:lineRule="auto"/>
              <w:ind w:left="0"/>
              <w:jc w:val="right"/>
              <w:rPr>
                <w:b/>
                <w:color w:val="FFFFFF" w:themeColor="background1"/>
              </w:rPr>
            </w:pPr>
            <w:r w:rsidRPr="00096668">
              <w:rPr>
                <w:b/>
                <w:color w:val="FFFFFF" w:themeColor="background1"/>
              </w:rPr>
              <w:t>2040</w:t>
            </w:r>
          </w:p>
        </w:tc>
      </w:tr>
      <w:tr w:rsidR="003B3C47" w:rsidRPr="00826421" w14:paraId="62DFD4C4" w14:textId="77777777" w:rsidTr="00991661">
        <w:trPr>
          <w:trHeight w:val="599"/>
        </w:trPr>
        <w:tc>
          <w:tcPr>
            <w:tcW w:w="947" w:type="pct"/>
            <w:vMerge/>
            <w:shd w:val="clear" w:color="auto" w:fill="000000" w:themeFill="text1"/>
            <w:noWrap/>
            <w:vAlign w:val="center"/>
          </w:tcPr>
          <w:p w14:paraId="6634C596" w14:textId="77777777" w:rsidR="003B3C47" w:rsidRPr="00096668" w:rsidRDefault="003B3C47" w:rsidP="00252C91">
            <w:pPr>
              <w:spacing w:line="276" w:lineRule="auto"/>
              <w:ind w:left="0"/>
              <w:jc w:val="both"/>
              <w:rPr>
                <w:b/>
                <w:color w:val="FFFFFF" w:themeColor="background1"/>
              </w:rPr>
            </w:pPr>
          </w:p>
        </w:tc>
        <w:tc>
          <w:tcPr>
            <w:tcW w:w="921" w:type="pct"/>
            <w:shd w:val="clear" w:color="auto" w:fill="000000" w:themeFill="text1"/>
            <w:vAlign w:val="center"/>
          </w:tcPr>
          <w:p w14:paraId="118CEAF4" w14:textId="177E0929" w:rsidR="003B3C47" w:rsidRPr="00096668" w:rsidRDefault="00D143F2" w:rsidP="00096668">
            <w:pPr>
              <w:spacing w:line="276" w:lineRule="auto"/>
              <w:ind w:left="0"/>
              <w:jc w:val="right"/>
              <w:rPr>
                <w:b/>
                <w:color w:val="FFFFFF" w:themeColor="background1"/>
              </w:rPr>
            </w:pPr>
            <w:r w:rsidRPr="00096668">
              <w:rPr>
                <w:b/>
                <w:color w:val="FFFFFF" w:themeColor="background1"/>
              </w:rPr>
              <w:t>Consett</w:t>
            </w:r>
          </w:p>
        </w:tc>
        <w:tc>
          <w:tcPr>
            <w:tcW w:w="1105" w:type="pct"/>
            <w:shd w:val="clear" w:color="auto" w:fill="000000" w:themeFill="text1"/>
            <w:vAlign w:val="center"/>
          </w:tcPr>
          <w:p w14:paraId="661E55D9" w14:textId="18E5837F" w:rsidR="003B3C47" w:rsidRPr="00096668" w:rsidRDefault="00096668" w:rsidP="00096668">
            <w:pPr>
              <w:spacing w:line="276" w:lineRule="auto"/>
              <w:ind w:left="0"/>
              <w:jc w:val="right"/>
              <w:rPr>
                <w:b/>
                <w:color w:val="FFFFFF" w:themeColor="background1"/>
              </w:rPr>
            </w:pPr>
            <w:r w:rsidRPr="00096668">
              <w:rPr>
                <w:b/>
                <w:color w:val="FFFFFF" w:themeColor="background1"/>
              </w:rPr>
              <w:t>County Durham</w:t>
            </w:r>
          </w:p>
        </w:tc>
        <w:tc>
          <w:tcPr>
            <w:tcW w:w="921" w:type="pct"/>
            <w:shd w:val="clear" w:color="auto" w:fill="000000" w:themeFill="text1"/>
            <w:vAlign w:val="center"/>
          </w:tcPr>
          <w:p w14:paraId="34D0636A" w14:textId="72167D42" w:rsidR="003B3C47" w:rsidRPr="00096668" w:rsidRDefault="00D143F2" w:rsidP="00096668">
            <w:pPr>
              <w:spacing w:line="276" w:lineRule="auto"/>
              <w:ind w:left="0"/>
              <w:jc w:val="right"/>
              <w:rPr>
                <w:b/>
                <w:color w:val="FFFFFF" w:themeColor="background1"/>
              </w:rPr>
            </w:pPr>
            <w:r w:rsidRPr="00096668">
              <w:rPr>
                <w:b/>
                <w:color w:val="FFFFFF" w:themeColor="background1"/>
              </w:rPr>
              <w:t>Consett</w:t>
            </w:r>
          </w:p>
        </w:tc>
        <w:tc>
          <w:tcPr>
            <w:tcW w:w="1105" w:type="pct"/>
            <w:shd w:val="clear" w:color="auto" w:fill="000000" w:themeFill="text1"/>
            <w:vAlign w:val="center"/>
          </w:tcPr>
          <w:p w14:paraId="39829D78" w14:textId="68BB9103" w:rsidR="003B3C47" w:rsidRPr="00096668" w:rsidRDefault="00096668" w:rsidP="00096668">
            <w:pPr>
              <w:spacing w:line="276" w:lineRule="auto"/>
              <w:ind w:left="0"/>
              <w:jc w:val="right"/>
              <w:rPr>
                <w:b/>
                <w:color w:val="FFFFFF" w:themeColor="background1"/>
              </w:rPr>
            </w:pPr>
            <w:r w:rsidRPr="00096668">
              <w:rPr>
                <w:b/>
                <w:color w:val="FFFFFF" w:themeColor="background1"/>
              </w:rPr>
              <w:t>County Durham</w:t>
            </w:r>
          </w:p>
        </w:tc>
      </w:tr>
      <w:tr w:rsidR="00991661" w:rsidRPr="00826421" w14:paraId="36A01D2A" w14:textId="77777777" w:rsidTr="00991661">
        <w:trPr>
          <w:trHeight w:val="266"/>
        </w:trPr>
        <w:tc>
          <w:tcPr>
            <w:tcW w:w="947" w:type="pct"/>
            <w:noWrap/>
            <w:vAlign w:val="center"/>
            <w:hideMark/>
          </w:tcPr>
          <w:p w14:paraId="3FF24AAE" w14:textId="77777777" w:rsidR="00991661" w:rsidRPr="00826421" w:rsidRDefault="00991661" w:rsidP="00991661">
            <w:pPr>
              <w:spacing w:line="276" w:lineRule="auto"/>
              <w:ind w:left="0"/>
              <w:jc w:val="both"/>
              <w:rPr>
                <w:color w:val="000000" w:themeColor="text1"/>
              </w:rPr>
            </w:pPr>
            <w:r w:rsidRPr="00826421">
              <w:rPr>
                <w:color w:val="000000" w:themeColor="text1"/>
              </w:rPr>
              <w:t>All ages</w:t>
            </w:r>
          </w:p>
        </w:tc>
        <w:tc>
          <w:tcPr>
            <w:tcW w:w="921" w:type="pct"/>
            <w:noWrap/>
            <w:vAlign w:val="center"/>
          </w:tcPr>
          <w:p w14:paraId="4D27C921" w14:textId="6FF78762" w:rsidR="00991661" w:rsidRPr="00826421" w:rsidRDefault="00991661" w:rsidP="00991661">
            <w:pPr>
              <w:spacing w:line="276" w:lineRule="auto"/>
              <w:ind w:left="0"/>
              <w:jc w:val="right"/>
              <w:rPr>
                <w:color w:val="000000" w:themeColor="text1"/>
              </w:rPr>
            </w:pPr>
            <w:r>
              <w:rPr>
                <w:rFonts w:ascii="Arial" w:hAnsi="Arial" w:cs="Arial"/>
                <w:color w:val="000000"/>
                <w:sz w:val="22"/>
                <w:szCs w:val="22"/>
              </w:rPr>
              <w:t>38,525</w:t>
            </w:r>
          </w:p>
        </w:tc>
        <w:tc>
          <w:tcPr>
            <w:tcW w:w="1105" w:type="pct"/>
            <w:noWrap/>
            <w:vAlign w:val="center"/>
          </w:tcPr>
          <w:p w14:paraId="0A5BE19D" w14:textId="6DF98808" w:rsidR="00991661" w:rsidRPr="00826421" w:rsidRDefault="00991661" w:rsidP="00991661">
            <w:pPr>
              <w:spacing w:line="276" w:lineRule="auto"/>
              <w:ind w:left="0"/>
              <w:jc w:val="right"/>
              <w:rPr>
                <w:color w:val="000000" w:themeColor="text1"/>
              </w:rPr>
            </w:pPr>
            <w:r>
              <w:rPr>
                <w:rFonts w:ascii="Arial" w:hAnsi="Arial" w:cs="Arial"/>
                <w:color w:val="000000"/>
                <w:sz w:val="22"/>
                <w:szCs w:val="22"/>
              </w:rPr>
              <w:t>522,071</w:t>
            </w:r>
          </w:p>
        </w:tc>
        <w:tc>
          <w:tcPr>
            <w:tcW w:w="921" w:type="pct"/>
            <w:noWrap/>
            <w:vAlign w:val="center"/>
          </w:tcPr>
          <w:p w14:paraId="01EB09B9" w14:textId="11A71AF5" w:rsidR="00991661" w:rsidRPr="00826421" w:rsidRDefault="00991661" w:rsidP="00991661">
            <w:pPr>
              <w:spacing w:line="276" w:lineRule="auto"/>
              <w:ind w:left="0"/>
              <w:jc w:val="right"/>
              <w:rPr>
                <w:color w:val="000000" w:themeColor="text1"/>
              </w:rPr>
            </w:pPr>
            <w:r>
              <w:rPr>
                <w:rFonts w:ascii="Arial" w:hAnsi="Arial" w:cs="Arial"/>
                <w:color w:val="000000"/>
                <w:sz w:val="22"/>
                <w:szCs w:val="22"/>
              </w:rPr>
              <w:t>41,249</w:t>
            </w:r>
          </w:p>
        </w:tc>
        <w:tc>
          <w:tcPr>
            <w:tcW w:w="1105" w:type="pct"/>
            <w:noWrap/>
            <w:vAlign w:val="center"/>
          </w:tcPr>
          <w:p w14:paraId="30E0AED6" w14:textId="75562845" w:rsidR="00991661" w:rsidRPr="00826421" w:rsidRDefault="00991661" w:rsidP="00991661">
            <w:pPr>
              <w:spacing w:line="276" w:lineRule="auto"/>
              <w:ind w:left="0"/>
              <w:jc w:val="right"/>
              <w:rPr>
                <w:color w:val="000000" w:themeColor="text1"/>
              </w:rPr>
            </w:pPr>
            <w:r>
              <w:rPr>
                <w:rFonts w:ascii="Arial" w:hAnsi="Arial" w:cs="Arial"/>
                <w:color w:val="000000"/>
                <w:sz w:val="22"/>
                <w:szCs w:val="22"/>
              </w:rPr>
              <w:t>558,986</w:t>
            </w:r>
          </w:p>
        </w:tc>
      </w:tr>
      <w:tr w:rsidR="00991661" w:rsidRPr="00826421" w14:paraId="4374CB42" w14:textId="77777777" w:rsidTr="00991661">
        <w:trPr>
          <w:trHeight w:val="266"/>
        </w:trPr>
        <w:tc>
          <w:tcPr>
            <w:tcW w:w="947" w:type="pct"/>
            <w:noWrap/>
            <w:vAlign w:val="center"/>
            <w:hideMark/>
          </w:tcPr>
          <w:p w14:paraId="378BA16F" w14:textId="77777777" w:rsidR="00991661" w:rsidRPr="00826421" w:rsidRDefault="00991661" w:rsidP="00991661">
            <w:pPr>
              <w:spacing w:line="276" w:lineRule="auto"/>
              <w:ind w:left="0"/>
              <w:jc w:val="both"/>
              <w:rPr>
                <w:color w:val="000000" w:themeColor="text1"/>
              </w:rPr>
            </w:pPr>
            <w:r w:rsidRPr="00826421">
              <w:rPr>
                <w:color w:val="000000" w:themeColor="text1"/>
              </w:rPr>
              <w:t>75+</w:t>
            </w:r>
          </w:p>
        </w:tc>
        <w:tc>
          <w:tcPr>
            <w:tcW w:w="921" w:type="pct"/>
            <w:noWrap/>
            <w:vAlign w:val="center"/>
          </w:tcPr>
          <w:p w14:paraId="02BCFC9D" w14:textId="7DC30A92" w:rsidR="00991661" w:rsidRPr="00826421" w:rsidRDefault="00991661" w:rsidP="00991661">
            <w:pPr>
              <w:spacing w:line="276" w:lineRule="auto"/>
              <w:ind w:left="0"/>
              <w:jc w:val="right"/>
              <w:rPr>
                <w:color w:val="000000" w:themeColor="text1"/>
              </w:rPr>
            </w:pPr>
            <w:r>
              <w:rPr>
                <w:rFonts w:ascii="Arial" w:hAnsi="Arial" w:cs="Arial"/>
                <w:color w:val="000000"/>
                <w:sz w:val="22"/>
                <w:szCs w:val="22"/>
              </w:rPr>
              <w:t>3,543</w:t>
            </w:r>
          </w:p>
        </w:tc>
        <w:tc>
          <w:tcPr>
            <w:tcW w:w="1105" w:type="pct"/>
            <w:noWrap/>
            <w:vAlign w:val="center"/>
          </w:tcPr>
          <w:p w14:paraId="2733CBFC" w14:textId="56CC51EC" w:rsidR="00991661" w:rsidRPr="00826421" w:rsidRDefault="00991661" w:rsidP="00991661">
            <w:pPr>
              <w:spacing w:line="276" w:lineRule="auto"/>
              <w:ind w:left="0"/>
              <w:jc w:val="right"/>
              <w:rPr>
                <w:color w:val="000000" w:themeColor="text1"/>
              </w:rPr>
            </w:pPr>
            <w:r>
              <w:rPr>
                <w:rFonts w:ascii="Arial" w:hAnsi="Arial" w:cs="Arial"/>
                <w:color w:val="000000"/>
                <w:sz w:val="22"/>
                <w:szCs w:val="22"/>
              </w:rPr>
              <w:t>49,582</w:t>
            </w:r>
          </w:p>
        </w:tc>
        <w:tc>
          <w:tcPr>
            <w:tcW w:w="921" w:type="pct"/>
            <w:noWrap/>
            <w:vAlign w:val="center"/>
          </w:tcPr>
          <w:p w14:paraId="092537D4" w14:textId="120381D3" w:rsidR="00991661" w:rsidRPr="00826421" w:rsidRDefault="00991661" w:rsidP="00991661">
            <w:pPr>
              <w:spacing w:line="276" w:lineRule="auto"/>
              <w:ind w:left="0"/>
              <w:jc w:val="right"/>
              <w:rPr>
                <w:color w:val="000000" w:themeColor="text1"/>
              </w:rPr>
            </w:pPr>
            <w:r>
              <w:rPr>
                <w:rFonts w:ascii="Arial" w:hAnsi="Arial" w:cs="Arial"/>
                <w:color w:val="000000"/>
                <w:sz w:val="22"/>
                <w:szCs w:val="22"/>
              </w:rPr>
              <w:t>5,560</w:t>
            </w:r>
          </w:p>
        </w:tc>
        <w:tc>
          <w:tcPr>
            <w:tcW w:w="1105" w:type="pct"/>
            <w:noWrap/>
            <w:vAlign w:val="center"/>
          </w:tcPr>
          <w:p w14:paraId="73DB69BF" w14:textId="0C096BFC" w:rsidR="00991661" w:rsidRPr="00826421" w:rsidRDefault="00991661" w:rsidP="00991661">
            <w:pPr>
              <w:spacing w:line="276" w:lineRule="auto"/>
              <w:ind w:left="0"/>
              <w:jc w:val="right"/>
              <w:rPr>
                <w:color w:val="000000" w:themeColor="text1"/>
              </w:rPr>
            </w:pPr>
            <w:r>
              <w:rPr>
                <w:rFonts w:ascii="Arial" w:hAnsi="Arial" w:cs="Arial"/>
                <w:color w:val="000000"/>
                <w:sz w:val="22"/>
                <w:szCs w:val="22"/>
              </w:rPr>
              <w:t>77,802</w:t>
            </w:r>
          </w:p>
        </w:tc>
      </w:tr>
      <w:tr w:rsidR="00991661" w:rsidRPr="00826421" w14:paraId="577DC309" w14:textId="77777777" w:rsidTr="00991661">
        <w:trPr>
          <w:trHeight w:val="266"/>
        </w:trPr>
        <w:tc>
          <w:tcPr>
            <w:tcW w:w="947" w:type="pct"/>
            <w:noWrap/>
            <w:vAlign w:val="center"/>
          </w:tcPr>
          <w:p w14:paraId="72A67B04" w14:textId="77777777" w:rsidR="00991661" w:rsidRPr="00826421" w:rsidRDefault="00991661" w:rsidP="00991661">
            <w:pPr>
              <w:spacing w:line="276" w:lineRule="auto"/>
              <w:ind w:left="0"/>
              <w:jc w:val="both"/>
              <w:rPr>
                <w:color w:val="000000" w:themeColor="text1"/>
              </w:rPr>
            </w:pPr>
            <w:r w:rsidRPr="00826421">
              <w:rPr>
                <w:color w:val="000000" w:themeColor="text1"/>
              </w:rPr>
              <w:t>%</w:t>
            </w:r>
          </w:p>
        </w:tc>
        <w:tc>
          <w:tcPr>
            <w:tcW w:w="921" w:type="pct"/>
            <w:noWrap/>
            <w:vAlign w:val="center"/>
          </w:tcPr>
          <w:p w14:paraId="77CA32B3" w14:textId="398A5229" w:rsidR="00991661" w:rsidRPr="00826421" w:rsidRDefault="00991661" w:rsidP="00991661">
            <w:pPr>
              <w:spacing w:line="276" w:lineRule="auto"/>
              <w:ind w:left="0"/>
              <w:jc w:val="right"/>
              <w:rPr>
                <w:color w:val="000000" w:themeColor="text1"/>
              </w:rPr>
            </w:pPr>
            <w:r>
              <w:rPr>
                <w:rFonts w:ascii="Arial" w:hAnsi="Arial" w:cs="Arial"/>
                <w:color w:val="000000"/>
                <w:sz w:val="22"/>
                <w:szCs w:val="22"/>
              </w:rPr>
              <w:t>9.2%</w:t>
            </w:r>
          </w:p>
        </w:tc>
        <w:tc>
          <w:tcPr>
            <w:tcW w:w="1105" w:type="pct"/>
            <w:noWrap/>
            <w:vAlign w:val="center"/>
          </w:tcPr>
          <w:p w14:paraId="2307ECBF" w14:textId="391C11AE" w:rsidR="00991661" w:rsidRPr="00826421" w:rsidRDefault="00991661" w:rsidP="00991661">
            <w:pPr>
              <w:spacing w:line="276" w:lineRule="auto"/>
              <w:ind w:left="0"/>
              <w:jc w:val="right"/>
              <w:rPr>
                <w:color w:val="000000" w:themeColor="text1"/>
              </w:rPr>
            </w:pPr>
            <w:r>
              <w:rPr>
                <w:rFonts w:ascii="Arial" w:hAnsi="Arial" w:cs="Arial"/>
                <w:color w:val="000000"/>
                <w:sz w:val="22"/>
                <w:szCs w:val="22"/>
              </w:rPr>
              <w:t>9.5%</w:t>
            </w:r>
          </w:p>
        </w:tc>
        <w:tc>
          <w:tcPr>
            <w:tcW w:w="921" w:type="pct"/>
            <w:noWrap/>
            <w:vAlign w:val="center"/>
          </w:tcPr>
          <w:p w14:paraId="02122EA3" w14:textId="7FAC22BC" w:rsidR="00991661" w:rsidRPr="00826421" w:rsidRDefault="00991661" w:rsidP="00991661">
            <w:pPr>
              <w:spacing w:line="276" w:lineRule="auto"/>
              <w:ind w:left="0"/>
              <w:jc w:val="right"/>
              <w:rPr>
                <w:color w:val="000000" w:themeColor="text1"/>
              </w:rPr>
            </w:pPr>
            <w:r>
              <w:rPr>
                <w:rFonts w:ascii="Arial" w:hAnsi="Arial" w:cs="Arial"/>
                <w:color w:val="000000"/>
                <w:sz w:val="22"/>
                <w:szCs w:val="22"/>
              </w:rPr>
              <w:t>13.5%</w:t>
            </w:r>
          </w:p>
        </w:tc>
        <w:tc>
          <w:tcPr>
            <w:tcW w:w="1105" w:type="pct"/>
            <w:noWrap/>
            <w:vAlign w:val="center"/>
          </w:tcPr>
          <w:p w14:paraId="0E93CF20" w14:textId="44E984C0" w:rsidR="00991661" w:rsidRPr="00826421" w:rsidRDefault="00991661" w:rsidP="00991661">
            <w:pPr>
              <w:spacing w:line="276" w:lineRule="auto"/>
              <w:ind w:left="0"/>
              <w:jc w:val="right"/>
              <w:rPr>
                <w:color w:val="000000" w:themeColor="text1"/>
              </w:rPr>
            </w:pPr>
            <w:r>
              <w:rPr>
                <w:rFonts w:ascii="Arial" w:hAnsi="Arial" w:cs="Arial"/>
                <w:color w:val="000000"/>
                <w:sz w:val="22"/>
                <w:szCs w:val="22"/>
              </w:rPr>
              <w:t>13.9%</w:t>
            </w:r>
          </w:p>
        </w:tc>
      </w:tr>
    </w:tbl>
    <w:p w14:paraId="0EB01AE5" w14:textId="77777777" w:rsidR="003B3C47" w:rsidRPr="00826421" w:rsidRDefault="003B3C47" w:rsidP="00252C91">
      <w:pPr>
        <w:pStyle w:val="Source"/>
        <w:jc w:val="both"/>
      </w:pPr>
      <w:r>
        <w:tab/>
      </w:r>
      <w:r w:rsidRPr="00826421">
        <w:t>Source: ONS SNPP 20</w:t>
      </w:r>
      <w:r>
        <w:t>20</w:t>
      </w:r>
      <w:r w:rsidRPr="00826421">
        <w:t>, AECOM Calculations</w:t>
      </w:r>
    </w:p>
    <w:p w14:paraId="150488E1" w14:textId="77777777" w:rsidR="003B3C47" w:rsidRDefault="003B3C47" w:rsidP="00252C91">
      <w:pPr>
        <w:pStyle w:val="Numberedtext"/>
        <w:jc w:val="both"/>
      </w:pPr>
      <w:r>
        <w:t xml:space="preserve">The next step is to consider the need for different tenures of dwelling for older people. It is assumed that those currently occupying their own home will wish to do so for as long as practicably possible in future, even where downsizing or moving into specialist accommodation. Equally, those who currently rent, either in the private or social sectors, are projected to need affordable rented specialist accommodation. </w:t>
      </w:r>
    </w:p>
    <w:p w14:paraId="1B7F7D7D" w14:textId="42190859" w:rsidR="003F6AC2" w:rsidRDefault="003B3C47" w:rsidP="00252C91">
      <w:pPr>
        <w:pStyle w:val="Numberedtext"/>
        <w:jc w:val="both"/>
      </w:pPr>
      <w:r>
        <w:t xml:space="preserve">The 2011 55-75 age bracket is considered the best proxy for the group likely to fall into need for specialist </w:t>
      </w:r>
      <w:r w:rsidRPr="00C33798">
        <w:t xml:space="preserve">accommodation during </w:t>
      </w:r>
      <w:r w:rsidR="0096304E" w:rsidRPr="00C33798">
        <w:t>the Neighbourhood Plan period</w:t>
      </w:r>
      <w:r w:rsidRPr="00C33798">
        <w:t xml:space="preserve"> to 20</w:t>
      </w:r>
      <w:r w:rsidR="003F6AC2" w:rsidRPr="00C33798">
        <w:t>40</w:t>
      </w:r>
      <w:r w:rsidRPr="00C33798">
        <w:t xml:space="preserve">. The top row in Table </w:t>
      </w:r>
      <w:r w:rsidR="003F6AC2" w:rsidRPr="00C33798">
        <w:t>6-2</w:t>
      </w:r>
      <w:r w:rsidRPr="00C33798">
        <w:t xml:space="preserve"> outlines the tenure mix among households aged 55-75 at Local Authority level, which indicates </w:t>
      </w:r>
      <w:r w:rsidR="004F068B" w:rsidRPr="00C33798">
        <w:t xml:space="preserve">that </w:t>
      </w:r>
      <w:proofErr w:type="gramStart"/>
      <w:r w:rsidR="004F068B" w:rsidRPr="00C33798">
        <w:t>the vast majority of</w:t>
      </w:r>
      <w:proofErr w:type="gramEnd"/>
      <w:r w:rsidR="004F068B" w:rsidRPr="00C33798">
        <w:t xml:space="preserve"> older people own their own homes, with some social</w:t>
      </w:r>
      <w:r w:rsidR="004F068B">
        <w:t xml:space="preserve"> renters and very older people living in privately rented homes. </w:t>
      </w:r>
    </w:p>
    <w:p w14:paraId="2F5D7B91" w14:textId="5AA1EA0B" w:rsidR="003B3C47" w:rsidRPr="003A0185" w:rsidRDefault="003B3C47" w:rsidP="00252C91">
      <w:pPr>
        <w:pStyle w:val="Numberedtext"/>
        <w:jc w:val="both"/>
      </w:pPr>
      <w:r>
        <w:lastRenderedPageBreak/>
        <w:t xml:space="preserve">The expected growth in the 75+ population in the NA is </w:t>
      </w:r>
      <w:r w:rsidR="003A0185">
        <w:t>2,017</w:t>
      </w:r>
      <w:r>
        <w:t xml:space="preserve"> additional individuals by the end of the plan period. This can be converted into </w:t>
      </w:r>
      <w:r w:rsidR="003A0185">
        <w:t>1,505</w:t>
      </w:r>
      <w:r>
        <w:t xml:space="preserve"> households based on the average number of people per household aged 75+ at Local Authority scale. Multiplying</w:t>
      </w:r>
      <w:r w:rsidRPr="009E3FDB">
        <w:t xml:space="preserve"> this figure by the percentages of </w:t>
      </w:r>
      <w:proofErr w:type="gramStart"/>
      <w:r w:rsidRPr="009E3FDB">
        <w:t>55-75 year olds</w:t>
      </w:r>
      <w:proofErr w:type="gramEnd"/>
      <w:r w:rsidRPr="009E3FDB">
        <w:t xml:space="preserve"> occupying each tenure </w:t>
      </w:r>
      <w:r>
        <w:t>gives a</w:t>
      </w:r>
      <w:r w:rsidRPr="009E3FDB">
        <w:t xml:space="preserve"> breakdown </w:t>
      </w:r>
      <w:r w:rsidRPr="003A0185">
        <w:t xml:space="preserve">of which tenures </w:t>
      </w:r>
      <w:r w:rsidR="00D143F2" w:rsidRPr="003A0185">
        <w:t>Consett</w:t>
      </w:r>
      <w:r w:rsidRPr="003A0185">
        <w:t xml:space="preserve"> households are likely to need in</w:t>
      </w:r>
      <w:r w:rsidR="003A0185" w:rsidRPr="003A0185">
        <w:t xml:space="preserve"> 2040</w:t>
      </w:r>
      <w:r w:rsidRPr="003A0185">
        <w:t xml:space="preserve">, and is shown in the bottom row of Table </w:t>
      </w:r>
      <w:r w:rsidR="003A0185" w:rsidRPr="003A0185">
        <w:t>6-2</w:t>
      </w:r>
      <w:r w:rsidRPr="003A0185">
        <w:t xml:space="preserve">.  </w:t>
      </w:r>
    </w:p>
    <w:p w14:paraId="305A4637" w14:textId="5AE8206C" w:rsidR="003B3C47" w:rsidRPr="007B6601" w:rsidRDefault="003B3C47" w:rsidP="00252C91">
      <w:pPr>
        <w:keepNext/>
        <w:spacing w:after="120" w:line="276" w:lineRule="auto"/>
        <w:jc w:val="both"/>
        <w:rPr>
          <w:rFonts w:asciiTheme="majorHAnsi" w:hAnsiTheme="majorHAnsi"/>
          <w:b/>
          <w:bCs/>
        </w:rPr>
      </w:pPr>
      <w:bookmarkStart w:id="167" w:name="_Ref7875803"/>
      <w:r w:rsidRPr="003A0185">
        <w:rPr>
          <w:rFonts w:asciiTheme="majorHAnsi" w:hAnsiTheme="majorHAnsi"/>
          <w:b/>
          <w:bCs/>
        </w:rPr>
        <w:t>Tab</w:t>
      </w:r>
      <w:bookmarkEnd w:id="167"/>
      <w:r w:rsidRPr="003A0185">
        <w:rPr>
          <w:rFonts w:asciiTheme="majorHAnsi" w:hAnsiTheme="majorHAnsi"/>
          <w:b/>
          <w:bCs/>
        </w:rPr>
        <w:t xml:space="preserve">le </w:t>
      </w:r>
      <w:r w:rsidR="003F6AC2" w:rsidRPr="003A0185">
        <w:rPr>
          <w:rFonts w:asciiTheme="majorHAnsi" w:hAnsiTheme="majorHAnsi"/>
          <w:b/>
          <w:bCs/>
        </w:rPr>
        <w:t>6-2</w:t>
      </w:r>
      <w:r w:rsidRPr="003A0185">
        <w:rPr>
          <w:rFonts w:asciiTheme="majorHAnsi" w:hAnsiTheme="majorHAnsi"/>
          <w:b/>
          <w:bCs/>
        </w:rPr>
        <w:t xml:space="preserve">: Tenure of households aged 55-75 in </w:t>
      </w:r>
      <w:r w:rsidR="00DC6F3A" w:rsidRPr="003A0185">
        <w:rPr>
          <w:rFonts w:asciiTheme="majorHAnsi" w:hAnsiTheme="majorHAnsi"/>
          <w:b/>
          <w:bCs/>
        </w:rPr>
        <w:t>Durham</w:t>
      </w:r>
      <w:r w:rsidR="00BF6C1E" w:rsidRPr="003A0185">
        <w:rPr>
          <w:rFonts w:asciiTheme="majorHAnsi" w:hAnsiTheme="majorHAnsi"/>
          <w:b/>
          <w:bCs/>
        </w:rPr>
        <w:t xml:space="preserve"> </w:t>
      </w:r>
      <w:r w:rsidRPr="003A0185">
        <w:rPr>
          <w:rFonts w:asciiTheme="majorHAnsi" w:hAnsiTheme="majorHAnsi"/>
          <w:b/>
          <w:bCs/>
        </w:rPr>
        <w:t xml:space="preserve">(2011) and projected aged 75+ in </w:t>
      </w:r>
      <w:r w:rsidR="00D143F2" w:rsidRPr="003A0185">
        <w:rPr>
          <w:rFonts w:asciiTheme="majorHAnsi" w:hAnsiTheme="majorHAnsi"/>
          <w:b/>
          <w:bCs/>
        </w:rPr>
        <w:t>Consett</w:t>
      </w:r>
      <w:r w:rsidRPr="003A0185">
        <w:rPr>
          <w:rFonts w:asciiTheme="majorHAnsi" w:hAnsiTheme="majorHAnsi"/>
          <w:b/>
          <w:bCs/>
        </w:rPr>
        <w:t xml:space="preserve"> (</w:t>
      </w:r>
      <w:r w:rsidR="00BF6C1E" w:rsidRPr="003A0185">
        <w:rPr>
          <w:rFonts w:asciiTheme="majorHAnsi" w:hAnsiTheme="majorHAnsi"/>
          <w:b/>
          <w:bCs/>
        </w:rPr>
        <w:t>2040</w:t>
      </w:r>
      <w:r w:rsidRPr="003A0185">
        <w:rPr>
          <w:rFonts w:asciiTheme="majorHAnsi" w:hAnsiTheme="majorHAnsi"/>
          <w:b/>
          <w:bCs/>
        </w:rPr>
        <w:t>)</w:t>
      </w:r>
    </w:p>
    <w:tbl>
      <w:tblPr>
        <w:tblW w:w="5112" w:type="pct"/>
        <w:tblInd w:w="-10" w:type="dxa"/>
        <w:tblLook w:val="04A0" w:firstRow="1" w:lastRow="0" w:firstColumn="1" w:lastColumn="0" w:noHBand="0" w:noVBand="1"/>
      </w:tblPr>
      <w:tblGrid>
        <w:gridCol w:w="1838"/>
        <w:gridCol w:w="1399"/>
        <w:gridCol w:w="1124"/>
        <w:gridCol w:w="1471"/>
        <w:gridCol w:w="1070"/>
        <w:gridCol w:w="1044"/>
        <w:gridCol w:w="1044"/>
        <w:gridCol w:w="1044"/>
      </w:tblGrid>
      <w:tr w:rsidR="003B3C47" w:rsidRPr="00826421" w14:paraId="632CD9DC" w14:textId="77777777" w:rsidTr="00BF6C1E">
        <w:trPr>
          <w:trHeight w:val="804"/>
        </w:trPr>
        <w:tc>
          <w:tcPr>
            <w:tcW w:w="916" w:type="pct"/>
            <w:tcBorders>
              <w:top w:val="single" w:sz="8" w:space="0" w:color="auto"/>
              <w:left w:val="single" w:sz="8" w:space="0" w:color="auto"/>
              <w:bottom w:val="single" w:sz="8" w:space="0" w:color="auto"/>
              <w:right w:val="single" w:sz="8" w:space="0" w:color="auto"/>
            </w:tcBorders>
            <w:shd w:val="clear" w:color="auto" w:fill="000000" w:themeFill="text1"/>
          </w:tcPr>
          <w:p w14:paraId="12446BF9" w14:textId="77777777" w:rsidR="003B3C47" w:rsidRPr="00826421" w:rsidRDefault="003B3C47" w:rsidP="00252C91">
            <w:pPr>
              <w:spacing w:line="276" w:lineRule="auto"/>
              <w:jc w:val="both"/>
              <w:rPr>
                <w:b/>
                <w:bCs/>
                <w:color w:val="FFFFFF" w:themeColor="background1"/>
              </w:rPr>
            </w:pPr>
          </w:p>
        </w:tc>
        <w:tc>
          <w:tcPr>
            <w:tcW w:w="697" w:type="pct"/>
            <w:tcBorders>
              <w:top w:val="single" w:sz="8" w:space="0" w:color="auto"/>
              <w:left w:val="single" w:sz="8" w:space="0" w:color="auto"/>
              <w:bottom w:val="single" w:sz="8" w:space="0" w:color="auto"/>
              <w:right w:val="single" w:sz="8" w:space="0" w:color="auto"/>
            </w:tcBorders>
            <w:shd w:val="clear" w:color="auto" w:fill="000000" w:themeFill="text1"/>
            <w:vAlign w:val="center"/>
            <w:hideMark/>
          </w:tcPr>
          <w:p w14:paraId="65EEE794" w14:textId="77777777" w:rsidR="003B3C47" w:rsidRPr="00826421" w:rsidRDefault="003B3C47" w:rsidP="00EC145D">
            <w:pPr>
              <w:spacing w:line="276" w:lineRule="auto"/>
              <w:jc w:val="center"/>
              <w:rPr>
                <w:b/>
                <w:bCs/>
                <w:color w:val="FFFFFF" w:themeColor="background1"/>
              </w:rPr>
            </w:pPr>
            <w:r w:rsidRPr="00826421">
              <w:rPr>
                <w:b/>
                <w:bCs/>
                <w:color w:val="FFFFFF" w:themeColor="background1"/>
              </w:rPr>
              <w:t>All owned</w:t>
            </w:r>
          </w:p>
        </w:tc>
        <w:tc>
          <w:tcPr>
            <w:tcW w:w="560" w:type="pct"/>
            <w:tcBorders>
              <w:top w:val="single" w:sz="8" w:space="0" w:color="auto"/>
              <w:left w:val="nil"/>
              <w:bottom w:val="single" w:sz="8" w:space="0" w:color="auto"/>
              <w:right w:val="single" w:sz="8" w:space="0" w:color="auto"/>
            </w:tcBorders>
            <w:shd w:val="clear" w:color="auto" w:fill="000000" w:themeFill="text1"/>
            <w:vAlign w:val="center"/>
            <w:hideMark/>
          </w:tcPr>
          <w:p w14:paraId="1936F47B" w14:textId="77777777" w:rsidR="003B3C47" w:rsidRPr="00826421" w:rsidRDefault="003B3C47" w:rsidP="00EC145D">
            <w:pPr>
              <w:spacing w:line="276" w:lineRule="auto"/>
              <w:jc w:val="center"/>
              <w:rPr>
                <w:b/>
                <w:bCs/>
                <w:color w:val="FFFFFF" w:themeColor="background1"/>
              </w:rPr>
            </w:pPr>
            <w:r w:rsidRPr="00826421">
              <w:rPr>
                <w:b/>
                <w:bCs/>
                <w:color w:val="FFFFFF" w:themeColor="background1"/>
              </w:rPr>
              <w:t>Owned outright</w:t>
            </w:r>
          </w:p>
        </w:tc>
        <w:tc>
          <w:tcPr>
            <w:tcW w:w="733" w:type="pct"/>
            <w:tcBorders>
              <w:top w:val="single" w:sz="8" w:space="0" w:color="auto"/>
              <w:left w:val="nil"/>
              <w:bottom w:val="single" w:sz="8" w:space="0" w:color="auto"/>
              <w:right w:val="single" w:sz="8" w:space="0" w:color="auto"/>
            </w:tcBorders>
            <w:shd w:val="clear" w:color="auto" w:fill="000000" w:themeFill="text1"/>
            <w:vAlign w:val="center"/>
            <w:hideMark/>
          </w:tcPr>
          <w:p w14:paraId="6C4DD2BF" w14:textId="77777777" w:rsidR="003B3C47" w:rsidRPr="00826421" w:rsidRDefault="003B3C47" w:rsidP="00EC145D">
            <w:pPr>
              <w:spacing w:line="276" w:lineRule="auto"/>
              <w:jc w:val="center"/>
              <w:rPr>
                <w:b/>
                <w:bCs/>
                <w:color w:val="FFFFFF" w:themeColor="background1"/>
              </w:rPr>
            </w:pPr>
            <w:r w:rsidRPr="00826421">
              <w:rPr>
                <w:b/>
                <w:bCs/>
                <w:color w:val="FFFFFF" w:themeColor="background1"/>
              </w:rPr>
              <w:t xml:space="preserve">Owned </w:t>
            </w:r>
            <w:r>
              <w:rPr>
                <w:b/>
                <w:bCs/>
                <w:color w:val="FFFFFF" w:themeColor="background1"/>
              </w:rPr>
              <w:t>(</w:t>
            </w:r>
            <w:r w:rsidRPr="00826421">
              <w:rPr>
                <w:b/>
                <w:bCs/>
                <w:color w:val="FFFFFF" w:themeColor="background1"/>
              </w:rPr>
              <w:t>mortgage</w:t>
            </w:r>
            <w:r>
              <w:rPr>
                <w:b/>
                <w:bCs/>
                <w:color w:val="FFFFFF" w:themeColor="background1"/>
              </w:rPr>
              <w:t>)</w:t>
            </w:r>
            <w:r w:rsidRPr="00826421">
              <w:rPr>
                <w:b/>
                <w:bCs/>
                <w:color w:val="FFFFFF" w:themeColor="background1"/>
              </w:rPr>
              <w:t xml:space="preserve"> or Shared Ownership</w:t>
            </w:r>
          </w:p>
        </w:tc>
        <w:tc>
          <w:tcPr>
            <w:tcW w:w="533" w:type="pct"/>
            <w:tcBorders>
              <w:top w:val="single" w:sz="8" w:space="0" w:color="auto"/>
              <w:left w:val="nil"/>
              <w:bottom w:val="single" w:sz="8" w:space="0" w:color="auto"/>
              <w:right w:val="single" w:sz="8" w:space="0" w:color="auto"/>
            </w:tcBorders>
            <w:shd w:val="clear" w:color="auto" w:fill="000000" w:themeFill="text1"/>
            <w:vAlign w:val="center"/>
            <w:hideMark/>
          </w:tcPr>
          <w:p w14:paraId="009ACED8" w14:textId="77777777" w:rsidR="003B3C47" w:rsidRPr="00826421" w:rsidRDefault="003B3C47" w:rsidP="00EC145D">
            <w:pPr>
              <w:spacing w:line="276" w:lineRule="auto"/>
              <w:jc w:val="center"/>
              <w:rPr>
                <w:b/>
                <w:bCs/>
                <w:color w:val="FFFFFF" w:themeColor="background1"/>
              </w:rPr>
            </w:pPr>
            <w:r w:rsidRPr="00826421">
              <w:rPr>
                <w:b/>
                <w:bCs/>
                <w:color w:val="FFFFFF" w:themeColor="background1"/>
              </w:rPr>
              <w:t>All Rented</w:t>
            </w:r>
          </w:p>
        </w:tc>
        <w:tc>
          <w:tcPr>
            <w:tcW w:w="520" w:type="pct"/>
            <w:tcBorders>
              <w:top w:val="single" w:sz="8" w:space="0" w:color="auto"/>
              <w:left w:val="nil"/>
              <w:bottom w:val="single" w:sz="8" w:space="0" w:color="auto"/>
              <w:right w:val="single" w:sz="8" w:space="0" w:color="auto"/>
            </w:tcBorders>
            <w:shd w:val="clear" w:color="auto" w:fill="000000" w:themeFill="text1"/>
            <w:vAlign w:val="center"/>
            <w:hideMark/>
          </w:tcPr>
          <w:p w14:paraId="4DFDE5D9" w14:textId="77777777" w:rsidR="003B3C47" w:rsidRPr="00826421" w:rsidRDefault="003B3C47" w:rsidP="00EC145D">
            <w:pPr>
              <w:spacing w:line="276" w:lineRule="auto"/>
              <w:jc w:val="center"/>
              <w:rPr>
                <w:b/>
                <w:bCs/>
                <w:color w:val="FFFFFF" w:themeColor="background1"/>
              </w:rPr>
            </w:pPr>
            <w:r w:rsidRPr="00826421">
              <w:rPr>
                <w:b/>
                <w:bCs/>
                <w:color w:val="FFFFFF" w:themeColor="background1"/>
              </w:rPr>
              <w:t>Social rented</w:t>
            </w:r>
          </w:p>
        </w:tc>
        <w:tc>
          <w:tcPr>
            <w:tcW w:w="520" w:type="pct"/>
            <w:tcBorders>
              <w:top w:val="single" w:sz="8" w:space="0" w:color="auto"/>
              <w:left w:val="nil"/>
              <w:bottom w:val="single" w:sz="8" w:space="0" w:color="auto"/>
              <w:right w:val="single" w:sz="8" w:space="0" w:color="auto"/>
            </w:tcBorders>
            <w:shd w:val="clear" w:color="auto" w:fill="000000" w:themeFill="text1"/>
            <w:vAlign w:val="center"/>
            <w:hideMark/>
          </w:tcPr>
          <w:p w14:paraId="20678436" w14:textId="77777777" w:rsidR="003B3C47" w:rsidRPr="00826421" w:rsidRDefault="003B3C47" w:rsidP="00EC145D">
            <w:pPr>
              <w:spacing w:line="276" w:lineRule="auto"/>
              <w:jc w:val="center"/>
              <w:rPr>
                <w:b/>
                <w:bCs/>
                <w:color w:val="FFFFFF" w:themeColor="background1"/>
              </w:rPr>
            </w:pPr>
            <w:r w:rsidRPr="00826421">
              <w:rPr>
                <w:b/>
                <w:bCs/>
                <w:color w:val="FFFFFF" w:themeColor="background1"/>
              </w:rPr>
              <w:t>Private rented</w:t>
            </w:r>
          </w:p>
        </w:tc>
        <w:tc>
          <w:tcPr>
            <w:tcW w:w="520" w:type="pct"/>
            <w:tcBorders>
              <w:top w:val="single" w:sz="8" w:space="0" w:color="auto"/>
              <w:left w:val="nil"/>
              <w:bottom w:val="single" w:sz="8" w:space="0" w:color="auto"/>
              <w:right w:val="single" w:sz="8" w:space="0" w:color="auto"/>
            </w:tcBorders>
            <w:shd w:val="clear" w:color="auto" w:fill="000000" w:themeFill="text1"/>
            <w:vAlign w:val="center"/>
            <w:hideMark/>
          </w:tcPr>
          <w:p w14:paraId="3E47CA68" w14:textId="77777777" w:rsidR="003B3C47" w:rsidRPr="00826421" w:rsidRDefault="003B3C47" w:rsidP="00EC145D">
            <w:pPr>
              <w:spacing w:line="276" w:lineRule="auto"/>
              <w:jc w:val="center"/>
              <w:rPr>
                <w:b/>
                <w:bCs/>
                <w:color w:val="FFFFFF" w:themeColor="background1"/>
              </w:rPr>
            </w:pPr>
            <w:r w:rsidRPr="00826421">
              <w:rPr>
                <w:b/>
                <w:bCs/>
                <w:color w:val="FFFFFF" w:themeColor="background1"/>
              </w:rPr>
              <w:t>Living rent free</w:t>
            </w:r>
          </w:p>
        </w:tc>
      </w:tr>
      <w:tr w:rsidR="00BF6C1E" w:rsidRPr="00826421" w14:paraId="469ECAFA" w14:textId="77777777" w:rsidTr="00BF6C1E">
        <w:trPr>
          <w:trHeight w:val="264"/>
        </w:trPr>
        <w:tc>
          <w:tcPr>
            <w:tcW w:w="916" w:type="pct"/>
            <w:tcBorders>
              <w:top w:val="single" w:sz="4" w:space="0" w:color="auto"/>
              <w:left w:val="single" w:sz="4" w:space="0" w:color="auto"/>
              <w:bottom w:val="single" w:sz="4" w:space="0" w:color="auto"/>
              <w:right w:val="single" w:sz="4" w:space="0" w:color="auto"/>
            </w:tcBorders>
          </w:tcPr>
          <w:p w14:paraId="4AAEC435" w14:textId="0311D98B" w:rsidR="00BF6C1E" w:rsidRPr="00BF6C1E" w:rsidRDefault="00BF6C1E" w:rsidP="00BF6C1E">
            <w:pPr>
              <w:rPr>
                <w:b/>
                <w:bCs/>
              </w:rPr>
            </w:pPr>
            <w:r w:rsidRPr="00BF6C1E">
              <w:rPr>
                <w:b/>
                <w:bCs/>
              </w:rPr>
              <w:t>Durham (2011 mix)</w:t>
            </w: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AA05B0" w14:textId="5B5DA8EF" w:rsidR="00BF6C1E" w:rsidRPr="00826421" w:rsidRDefault="00BF6C1E" w:rsidP="00BF6C1E">
            <w:pPr>
              <w:spacing w:line="276" w:lineRule="auto"/>
              <w:jc w:val="right"/>
              <w:rPr>
                <w:b/>
              </w:rPr>
            </w:pPr>
            <w:r>
              <w:rPr>
                <w:rFonts w:ascii="Arial" w:hAnsi="Arial" w:cs="Arial"/>
                <w:b/>
                <w:bCs/>
                <w:color w:val="000000"/>
                <w:sz w:val="22"/>
                <w:szCs w:val="22"/>
              </w:rPr>
              <w:t>73.2%</w:t>
            </w:r>
          </w:p>
        </w:tc>
        <w:tc>
          <w:tcPr>
            <w:tcW w:w="560" w:type="pct"/>
            <w:tcBorders>
              <w:top w:val="single" w:sz="4" w:space="0" w:color="auto"/>
              <w:left w:val="nil"/>
              <w:bottom w:val="single" w:sz="4" w:space="0" w:color="auto"/>
              <w:right w:val="single" w:sz="4" w:space="0" w:color="auto"/>
            </w:tcBorders>
            <w:shd w:val="clear" w:color="auto" w:fill="auto"/>
            <w:noWrap/>
            <w:vAlign w:val="center"/>
          </w:tcPr>
          <w:p w14:paraId="6EA90202" w14:textId="72558AC0" w:rsidR="00BF6C1E" w:rsidRPr="00826421" w:rsidRDefault="00BF6C1E" w:rsidP="00BF6C1E">
            <w:pPr>
              <w:spacing w:line="276" w:lineRule="auto"/>
              <w:jc w:val="right"/>
            </w:pPr>
            <w:r>
              <w:rPr>
                <w:rFonts w:ascii="Arial" w:hAnsi="Arial" w:cs="Arial"/>
                <w:color w:val="000000"/>
                <w:sz w:val="22"/>
                <w:szCs w:val="22"/>
              </w:rPr>
              <w:t>52.6%</w:t>
            </w:r>
          </w:p>
        </w:tc>
        <w:tc>
          <w:tcPr>
            <w:tcW w:w="733" w:type="pct"/>
            <w:tcBorders>
              <w:top w:val="single" w:sz="4" w:space="0" w:color="auto"/>
              <w:left w:val="nil"/>
              <w:bottom w:val="single" w:sz="4" w:space="0" w:color="auto"/>
              <w:right w:val="single" w:sz="4" w:space="0" w:color="auto"/>
            </w:tcBorders>
            <w:shd w:val="clear" w:color="auto" w:fill="auto"/>
            <w:noWrap/>
            <w:vAlign w:val="center"/>
          </w:tcPr>
          <w:p w14:paraId="64BEF518" w14:textId="0C00EBE9" w:rsidR="00BF6C1E" w:rsidRPr="00826421" w:rsidRDefault="00BF6C1E" w:rsidP="00BF6C1E">
            <w:pPr>
              <w:spacing w:line="276" w:lineRule="auto"/>
              <w:jc w:val="right"/>
            </w:pPr>
            <w:r>
              <w:rPr>
                <w:rFonts w:ascii="Arial" w:hAnsi="Arial" w:cs="Arial"/>
                <w:color w:val="000000"/>
                <w:sz w:val="22"/>
                <w:szCs w:val="22"/>
              </w:rPr>
              <w:t>20.6%</w:t>
            </w:r>
          </w:p>
        </w:tc>
        <w:tc>
          <w:tcPr>
            <w:tcW w:w="533" w:type="pct"/>
            <w:tcBorders>
              <w:top w:val="single" w:sz="4" w:space="0" w:color="auto"/>
              <w:left w:val="nil"/>
              <w:bottom w:val="single" w:sz="4" w:space="0" w:color="auto"/>
              <w:right w:val="single" w:sz="4" w:space="0" w:color="auto"/>
            </w:tcBorders>
            <w:shd w:val="clear" w:color="auto" w:fill="auto"/>
            <w:noWrap/>
            <w:vAlign w:val="center"/>
          </w:tcPr>
          <w:p w14:paraId="0CCD88FE" w14:textId="7F08DD66" w:rsidR="00BF6C1E" w:rsidRPr="00826421" w:rsidRDefault="00BF6C1E" w:rsidP="00BF6C1E">
            <w:pPr>
              <w:spacing w:line="276" w:lineRule="auto"/>
              <w:jc w:val="right"/>
              <w:rPr>
                <w:b/>
              </w:rPr>
            </w:pPr>
            <w:r>
              <w:rPr>
                <w:rFonts w:ascii="Arial" w:hAnsi="Arial" w:cs="Arial"/>
                <w:b/>
                <w:bCs/>
                <w:color w:val="000000"/>
                <w:sz w:val="22"/>
                <w:szCs w:val="22"/>
              </w:rPr>
              <w:t>26.8%</w:t>
            </w:r>
          </w:p>
        </w:tc>
        <w:tc>
          <w:tcPr>
            <w:tcW w:w="520" w:type="pct"/>
            <w:tcBorders>
              <w:top w:val="single" w:sz="4" w:space="0" w:color="auto"/>
              <w:left w:val="nil"/>
              <w:bottom w:val="single" w:sz="4" w:space="0" w:color="auto"/>
              <w:right w:val="single" w:sz="4" w:space="0" w:color="auto"/>
            </w:tcBorders>
            <w:shd w:val="clear" w:color="auto" w:fill="auto"/>
            <w:noWrap/>
            <w:vAlign w:val="center"/>
          </w:tcPr>
          <w:p w14:paraId="440D21A2" w14:textId="55150B58" w:rsidR="00BF6C1E" w:rsidRPr="00826421" w:rsidRDefault="00BF6C1E" w:rsidP="00BF6C1E">
            <w:pPr>
              <w:spacing w:line="276" w:lineRule="auto"/>
              <w:jc w:val="right"/>
            </w:pPr>
            <w:r>
              <w:rPr>
                <w:rFonts w:ascii="Arial" w:hAnsi="Arial" w:cs="Arial"/>
                <w:color w:val="000000"/>
                <w:sz w:val="22"/>
                <w:szCs w:val="22"/>
              </w:rPr>
              <w:t>20.6%</w:t>
            </w:r>
          </w:p>
        </w:tc>
        <w:tc>
          <w:tcPr>
            <w:tcW w:w="520" w:type="pct"/>
            <w:tcBorders>
              <w:top w:val="single" w:sz="4" w:space="0" w:color="auto"/>
              <w:left w:val="nil"/>
              <w:bottom w:val="single" w:sz="4" w:space="0" w:color="auto"/>
              <w:right w:val="single" w:sz="4" w:space="0" w:color="auto"/>
            </w:tcBorders>
            <w:shd w:val="clear" w:color="auto" w:fill="auto"/>
            <w:noWrap/>
            <w:vAlign w:val="center"/>
          </w:tcPr>
          <w:p w14:paraId="46D027E1" w14:textId="5D50D6B9" w:rsidR="00BF6C1E" w:rsidRPr="00826421" w:rsidRDefault="00BF6C1E" w:rsidP="00BF6C1E">
            <w:pPr>
              <w:spacing w:line="276" w:lineRule="auto"/>
              <w:jc w:val="right"/>
            </w:pPr>
            <w:r>
              <w:rPr>
                <w:rFonts w:ascii="Arial" w:hAnsi="Arial" w:cs="Arial"/>
                <w:color w:val="000000"/>
                <w:sz w:val="22"/>
                <w:szCs w:val="22"/>
              </w:rPr>
              <w:t>5.1%</w:t>
            </w:r>
          </w:p>
        </w:tc>
        <w:tc>
          <w:tcPr>
            <w:tcW w:w="520" w:type="pct"/>
            <w:tcBorders>
              <w:top w:val="single" w:sz="4" w:space="0" w:color="auto"/>
              <w:left w:val="nil"/>
              <w:bottom w:val="single" w:sz="4" w:space="0" w:color="auto"/>
              <w:right w:val="single" w:sz="4" w:space="0" w:color="auto"/>
            </w:tcBorders>
            <w:shd w:val="clear" w:color="auto" w:fill="auto"/>
            <w:noWrap/>
            <w:vAlign w:val="center"/>
          </w:tcPr>
          <w:p w14:paraId="3A96CF63" w14:textId="1C58DC6B" w:rsidR="00BF6C1E" w:rsidRPr="00826421" w:rsidRDefault="00BF6C1E" w:rsidP="00BF6C1E">
            <w:pPr>
              <w:spacing w:line="276" w:lineRule="auto"/>
              <w:jc w:val="right"/>
            </w:pPr>
            <w:r>
              <w:rPr>
                <w:rFonts w:ascii="Arial" w:hAnsi="Arial" w:cs="Arial"/>
                <w:color w:val="000000"/>
                <w:sz w:val="22"/>
                <w:szCs w:val="22"/>
              </w:rPr>
              <w:t>1.1%</w:t>
            </w:r>
          </w:p>
        </w:tc>
      </w:tr>
      <w:tr w:rsidR="00BF6C1E" w:rsidRPr="00826421" w14:paraId="1AF5CDF9" w14:textId="77777777" w:rsidTr="00BF6C1E">
        <w:trPr>
          <w:trHeight w:val="264"/>
        </w:trPr>
        <w:tc>
          <w:tcPr>
            <w:tcW w:w="916" w:type="pct"/>
            <w:tcBorders>
              <w:top w:val="single" w:sz="4" w:space="0" w:color="auto"/>
              <w:left w:val="single" w:sz="4" w:space="0" w:color="auto"/>
              <w:bottom w:val="single" w:sz="4" w:space="0" w:color="auto"/>
              <w:right w:val="single" w:sz="4" w:space="0" w:color="auto"/>
            </w:tcBorders>
          </w:tcPr>
          <w:p w14:paraId="54DDB3A2" w14:textId="17751E23" w:rsidR="00BF6C1E" w:rsidRPr="00BF6C1E" w:rsidRDefault="00BF6C1E" w:rsidP="00BF6C1E">
            <w:pPr>
              <w:rPr>
                <w:b/>
                <w:bCs/>
              </w:rPr>
            </w:pPr>
            <w:r w:rsidRPr="00BF6C1E">
              <w:rPr>
                <w:b/>
                <w:bCs/>
              </w:rPr>
              <w:t>Consett (2040 projection)</w:t>
            </w:r>
          </w:p>
        </w:tc>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412D62" w14:textId="1017AAB3" w:rsidR="00BF6C1E" w:rsidRPr="00826421" w:rsidRDefault="00BF6C1E" w:rsidP="00BF6C1E">
            <w:pPr>
              <w:spacing w:line="276" w:lineRule="auto"/>
              <w:jc w:val="right"/>
              <w:rPr>
                <w:b/>
              </w:rPr>
            </w:pPr>
            <w:r>
              <w:rPr>
                <w:rFonts w:ascii="Arial" w:hAnsi="Arial" w:cs="Arial"/>
                <w:b/>
                <w:bCs/>
                <w:color w:val="000000"/>
                <w:sz w:val="22"/>
                <w:szCs w:val="22"/>
              </w:rPr>
              <w:t>1,102</w:t>
            </w:r>
          </w:p>
        </w:tc>
        <w:tc>
          <w:tcPr>
            <w:tcW w:w="560" w:type="pct"/>
            <w:tcBorders>
              <w:top w:val="single" w:sz="4" w:space="0" w:color="auto"/>
              <w:left w:val="nil"/>
              <w:bottom w:val="single" w:sz="4" w:space="0" w:color="auto"/>
              <w:right w:val="single" w:sz="4" w:space="0" w:color="auto"/>
            </w:tcBorders>
            <w:shd w:val="clear" w:color="auto" w:fill="auto"/>
            <w:noWrap/>
            <w:vAlign w:val="center"/>
          </w:tcPr>
          <w:p w14:paraId="5776F925" w14:textId="1ED23553" w:rsidR="00BF6C1E" w:rsidRPr="00BF6C1E" w:rsidRDefault="00BF6C1E" w:rsidP="00BF6C1E">
            <w:pPr>
              <w:spacing w:line="276" w:lineRule="auto"/>
              <w:jc w:val="right"/>
            </w:pPr>
            <w:r w:rsidRPr="00BF6C1E">
              <w:rPr>
                <w:rFonts w:ascii="Arial" w:hAnsi="Arial" w:cs="Arial"/>
                <w:color w:val="000000"/>
                <w:sz w:val="22"/>
                <w:szCs w:val="22"/>
              </w:rPr>
              <w:t>791</w:t>
            </w:r>
          </w:p>
        </w:tc>
        <w:tc>
          <w:tcPr>
            <w:tcW w:w="733" w:type="pct"/>
            <w:tcBorders>
              <w:top w:val="single" w:sz="4" w:space="0" w:color="auto"/>
              <w:left w:val="nil"/>
              <w:bottom w:val="single" w:sz="4" w:space="0" w:color="auto"/>
              <w:right w:val="single" w:sz="4" w:space="0" w:color="auto"/>
            </w:tcBorders>
            <w:shd w:val="clear" w:color="auto" w:fill="auto"/>
            <w:noWrap/>
            <w:vAlign w:val="center"/>
          </w:tcPr>
          <w:p w14:paraId="0A40D38A" w14:textId="1E3ABF70" w:rsidR="00BF6C1E" w:rsidRPr="00BF6C1E" w:rsidRDefault="00BF6C1E" w:rsidP="00BF6C1E">
            <w:pPr>
              <w:spacing w:line="276" w:lineRule="auto"/>
              <w:jc w:val="right"/>
            </w:pPr>
            <w:r w:rsidRPr="00BF6C1E">
              <w:rPr>
                <w:rFonts w:ascii="Arial" w:hAnsi="Arial" w:cs="Arial"/>
                <w:color w:val="000000"/>
                <w:sz w:val="22"/>
                <w:szCs w:val="22"/>
              </w:rPr>
              <w:t>310</w:t>
            </w:r>
          </w:p>
        </w:tc>
        <w:tc>
          <w:tcPr>
            <w:tcW w:w="533" w:type="pct"/>
            <w:tcBorders>
              <w:top w:val="single" w:sz="4" w:space="0" w:color="auto"/>
              <w:left w:val="nil"/>
              <w:bottom w:val="single" w:sz="4" w:space="0" w:color="auto"/>
              <w:right w:val="single" w:sz="4" w:space="0" w:color="auto"/>
            </w:tcBorders>
            <w:shd w:val="clear" w:color="auto" w:fill="auto"/>
            <w:noWrap/>
            <w:vAlign w:val="center"/>
          </w:tcPr>
          <w:p w14:paraId="74001977" w14:textId="73A450CA" w:rsidR="00BF6C1E" w:rsidRPr="00826421" w:rsidRDefault="00BF6C1E" w:rsidP="00BF6C1E">
            <w:pPr>
              <w:spacing w:line="276" w:lineRule="auto"/>
              <w:jc w:val="right"/>
              <w:rPr>
                <w:b/>
              </w:rPr>
            </w:pPr>
            <w:r>
              <w:rPr>
                <w:rFonts w:ascii="Arial" w:hAnsi="Arial" w:cs="Arial"/>
                <w:b/>
                <w:bCs/>
                <w:color w:val="000000"/>
                <w:sz w:val="22"/>
                <w:szCs w:val="22"/>
              </w:rPr>
              <w:t>403</w:t>
            </w:r>
          </w:p>
        </w:tc>
        <w:tc>
          <w:tcPr>
            <w:tcW w:w="520" w:type="pct"/>
            <w:tcBorders>
              <w:top w:val="single" w:sz="4" w:space="0" w:color="auto"/>
              <w:left w:val="nil"/>
              <w:bottom w:val="single" w:sz="4" w:space="0" w:color="auto"/>
              <w:right w:val="single" w:sz="4" w:space="0" w:color="auto"/>
            </w:tcBorders>
            <w:shd w:val="clear" w:color="auto" w:fill="auto"/>
            <w:noWrap/>
            <w:vAlign w:val="center"/>
          </w:tcPr>
          <w:p w14:paraId="42DDDD3F" w14:textId="2CCDFFA0" w:rsidR="00BF6C1E" w:rsidRPr="00BF6C1E" w:rsidRDefault="00BF6C1E" w:rsidP="00BF6C1E">
            <w:pPr>
              <w:spacing w:line="276" w:lineRule="auto"/>
              <w:jc w:val="right"/>
            </w:pPr>
            <w:r w:rsidRPr="00BF6C1E">
              <w:rPr>
                <w:rFonts w:ascii="Arial" w:hAnsi="Arial" w:cs="Arial"/>
                <w:color w:val="000000"/>
                <w:sz w:val="22"/>
                <w:szCs w:val="22"/>
              </w:rPr>
              <w:t>310</w:t>
            </w:r>
          </w:p>
        </w:tc>
        <w:tc>
          <w:tcPr>
            <w:tcW w:w="520" w:type="pct"/>
            <w:tcBorders>
              <w:top w:val="single" w:sz="4" w:space="0" w:color="auto"/>
              <w:left w:val="nil"/>
              <w:bottom w:val="single" w:sz="4" w:space="0" w:color="auto"/>
              <w:right w:val="single" w:sz="4" w:space="0" w:color="auto"/>
            </w:tcBorders>
            <w:shd w:val="clear" w:color="auto" w:fill="auto"/>
            <w:noWrap/>
            <w:vAlign w:val="center"/>
          </w:tcPr>
          <w:p w14:paraId="547D8CD5" w14:textId="6DF1236F" w:rsidR="00BF6C1E" w:rsidRPr="00BF6C1E" w:rsidRDefault="00BF6C1E" w:rsidP="00BF6C1E">
            <w:pPr>
              <w:spacing w:line="276" w:lineRule="auto"/>
              <w:jc w:val="right"/>
            </w:pPr>
            <w:r w:rsidRPr="00BF6C1E">
              <w:rPr>
                <w:rFonts w:ascii="Arial" w:hAnsi="Arial" w:cs="Arial"/>
                <w:color w:val="000000"/>
                <w:sz w:val="22"/>
                <w:szCs w:val="22"/>
              </w:rPr>
              <w:t>77</w:t>
            </w:r>
          </w:p>
        </w:tc>
        <w:tc>
          <w:tcPr>
            <w:tcW w:w="520" w:type="pct"/>
            <w:tcBorders>
              <w:top w:val="single" w:sz="4" w:space="0" w:color="auto"/>
              <w:left w:val="nil"/>
              <w:bottom w:val="single" w:sz="4" w:space="0" w:color="auto"/>
              <w:right w:val="single" w:sz="4" w:space="0" w:color="auto"/>
            </w:tcBorders>
            <w:shd w:val="clear" w:color="auto" w:fill="auto"/>
            <w:noWrap/>
            <w:vAlign w:val="center"/>
          </w:tcPr>
          <w:p w14:paraId="6F90A423" w14:textId="51D45983" w:rsidR="00BF6C1E" w:rsidRPr="00826421" w:rsidRDefault="00BF6C1E" w:rsidP="00BF6C1E">
            <w:pPr>
              <w:spacing w:line="276" w:lineRule="auto"/>
              <w:jc w:val="right"/>
            </w:pPr>
            <w:r>
              <w:rPr>
                <w:rFonts w:ascii="Arial" w:hAnsi="Arial" w:cs="Arial"/>
                <w:b/>
                <w:bCs/>
                <w:color w:val="000000"/>
                <w:sz w:val="22"/>
                <w:szCs w:val="22"/>
              </w:rPr>
              <w:t>16</w:t>
            </w:r>
          </w:p>
        </w:tc>
      </w:tr>
    </w:tbl>
    <w:p w14:paraId="62EB9BA7" w14:textId="77777777" w:rsidR="003B3C47" w:rsidRPr="00826421" w:rsidRDefault="003B3C47" w:rsidP="00252C91">
      <w:pPr>
        <w:pStyle w:val="Source"/>
        <w:jc w:val="both"/>
      </w:pPr>
      <w:r w:rsidRPr="00826421">
        <w:t>Source: Census 2011</w:t>
      </w:r>
    </w:p>
    <w:p w14:paraId="03BF397A" w14:textId="4F2DE9E6" w:rsidR="003B3C47" w:rsidRPr="003C03B9" w:rsidRDefault="003B3C47" w:rsidP="00252C91">
      <w:pPr>
        <w:pStyle w:val="Numberedtext"/>
        <w:jc w:val="both"/>
      </w:pPr>
      <w:r>
        <w:t xml:space="preserve">It is also important to consider rates of disability by tenure. The tendency for people in rented housing to have higher disability levels is well established. It arises partly because people </w:t>
      </w:r>
      <w:r w:rsidRPr="003C03B9">
        <w:t xml:space="preserve">with more limiting disabilities tend to have lower incomes. It also reflects the fact that as people develop support and care </w:t>
      </w:r>
      <w:proofErr w:type="gramStart"/>
      <w:r w:rsidRPr="003C03B9">
        <w:t>needs</w:t>
      </w:r>
      <w:proofErr w:type="gramEnd"/>
      <w:r w:rsidRPr="003C03B9">
        <w:t xml:space="preserve"> they may find that the only suitable and affordable option to them is </w:t>
      </w:r>
      <w:r w:rsidRPr="003A0185">
        <w:t xml:space="preserve">available in the social rented sector. Table E-2 in Appendix E presents this data for </w:t>
      </w:r>
      <w:r w:rsidR="00D143F2" w:rsidRPr="003A0185">
        <w:t>Consett</w:t>
      </w:r>
      <w:r w:rsidRPr="003A0185">
        <w:t xml:space="preserve"> from the 2011 Census.</w:t>
      </w:r>
      <w:r w:rsidRPr="003C03B9">
        <w:t xml:space="preserve"> </w:t>
      </w:r>
    </w:p>
    <w:p w14:paraId="5A0CAEB2" w14:textId="77777777" w:rsidR="003B3C47" w:rsidRPr="003C03B9" w:rsidRDefault="003B3C47" w:rsidP="00252C91">
      <w:pPr>
        <w:pStyle w:val="Heading3"/>
        <w:jc w:val="both"/>
        <w:rPr>
          <w:color w:val="auto"/>
        </w:rPr>
      </w:pPr>
      <w:r w:rsidRPr="003C03B9">
        <w:rPr>
          <w:color w:val="auto"/>
        </w:rPr>
        <w:t>Future needs for specialist accommodation and adaptations</w:t>
      </w:r>
    </w:p>
    <w:p w14:paraId="3396D767" w14:textId="53EB497C" w:rsidR="003B3C47" w:rsidRPr="003C03B9" w:rsidRDefault="003B3C47" w:rsidP="00252C91">
      <w:pPr>
        <w:pStyle w:val="Numberedtext"/>
        <w:jc w:val="both"/>
      </w:pPr>
      <w:bookmarkStart w:id="168" w:name="_Ref1031616"/>
      <w:bookmarkStart w:id="169" w:name="_Ref3465769"/>
      <w:r w:rsidRPr="003C03B9">
        <w:t xml:space="preserve">Based on the evidence outlined above, the number of households falling into potential need for specialist accommodation over </w:t>
      </w:r>
      <w:r w:rsidR="0096304E" w:rsidRPr="003C03B9">
        <w:t>the Neighbourhood Plan period</w:t>
      </w:r>
      <w:r w:rsidRPr="003C03B9">
        <w:t xml:space="preserve"> is calculated to be </w:t>
      </w:r>
      <w:r w:rsidR="003A0185">
        <w:t>918</w:t>
      </w:r>
      <w:r w:rsidRPr="003C03B9">
        <w:t xml:space="preserve">. </w:t>
      </w:r>
    </w:p>
    <w:p w14:paraId="3CD2641C" w14:textId="76DD5220" w:rsidR="003B3C47" w:rsidRDefault="003B3C47" w:rsidP="00252C91">
      <w:pPr>
        <w:pStyle w:val="Numberedtext"/>
        <w:jc w:val="both"/>
      </w:pPr>
      <w:r w:rsidRPr="00D75A7E">
        <w:t>AECOM’s modelling</w:t>
      </w:r>
      <w:r>
        <w:t xml:space="preserve">, </w:t>
      </w:r>
      <w:proofErr w:type="spellStart"/>
      <w:r>
        <w:t>summarised</w:t>
      </w:r>
      <w:proofErr w:type="spellEnd"/>
      <w:r>
        <w:t xml:space="preserve"> in Table </w:t>
      </w:r>
      <w:r w:rsidR="003A0185">
        <w:t>6-3</w:t>
      </w:r>
      <w:r>
        <w:t>,</w:t>
      </w:r>
      <w:r w:rsidRPr="00D75A7E">
        <w:t xml:space="preserve"> is based on the assumption that those whose day-to-day activities are limited a lot may need housing with care (e.g. extra care housing, with significant on-site services, including potentially medical services), while those with their day to day activities limited only a little may simply need adaptations to their existing homes, or alternatively sheltered or retirement living that can provide some degree of oversight or additional services. However, it is important to note that, even those people who have high support or care needs can often be supported to live in their own homes. This is often reflected in policy of local authorities, with explicit aim to reduce the need to commission increasing numbers of care home beds. </w:t>
      </w:r>
    </w:p>
    <w:p w14:paraId="4B91E511" w14:textId="0E6CD06D" w:rsidR="00EE7C4D" w:rsidRDefault="00121371" w:rsidP="005E066E">
      <w:pPr>
        <w:pStyle w:val="Numberedtext"/>
        <w:jc w:val="both"/>
      </w:pPr>
      <w:r>
        <w:t xml:space="preserve">These estimates suggest that the greatest need for specialist housing can be met through the open market (rather than the social rented sector). Table 6-3 also suggests that </w:t>
      </w:r>
      <w:r w:rsidR="005E066E">
        <w:t xml:space="preserve">a majority can be met through adaptations to the existing housing stock, but there remains some need for housing with care. </w:t>
      </w:r>
    </w:p>
    <w:p w14:paraId="34F151DD" w14:textId="77777777" w:rsidR="00EE7C4D" w:rsidRDefault="00EE7C4D" w:rsidP="00C2339A">
      <w:pPr>
        <w:pStyle w:val="Numberedtext"/>
        <w:numPr>
          <w:ilvl w:val="0"/>
          <w:numId w:val="0"/>
        </w:numPr>
        <w:jc w:val="both"/>
      </w:pPr>
    </w:p>
    <w:p w14:paraId="457EA274" w14:textId="77777777" w:rsidR="00EE7C4D" w:rsidRPr="00BD041F" w:rsidRDefault="00EE7C4D" w:rsidP="00EE7C4D">
      <w:pPr>
        <w:pStyle w:val="Numberedtext"/>
        <w:numPr>
          <w:ilvl w:val="0"/>
          <w:numId w:val="0"/>
        </w:numPr>
        <w:ind w:left="811"/>
        <w:jc w:val="both"/>
      </w:pPr>
    </w:p>
    <w:p w14:paraId="25BB2AEA" w14:textId="5807E14F" w:rsidR="003B3C47" w:rsidRPr="005E066E" w:rsidRDefault="003B3C47" w:rsidP="00252C91">
      <w:pPr>
        <w:keepNext/>
        <w:spacing w:after="120" w:line="276" w:lineRule="auto"/>
        <w:jc w:val="both"/>
        <w:rPr>
          <w:rFonts w:asciiTheme="majorHAnsi" w:hAnsiTheme="majorHAnsi"/>
          <w:b/>
          <w:bCs/>
        </w:rPr>
      </w:pPr>
      <w:bookmarkStart w:id="170" w:name="_Ref4491677"/>
      <w:r w:rsidRPr="005E066E">
        <w:rPr>
          <w:rFonts w:asciiTheme="majorHAnsi" w:hAnsiTheme="majorHAnsi"/>
          <w:b/>
          <w:bCs/>
        </w:rPr>
        <w:t>T</w:t>
      </w:r>
      <w:bookmarkEnd w:id="168"/>
      <w:bookmarkEnd w:id="169"/>
      <w:bookmarkEnd w:id="170"/>
      <w:r w:rsidRPr="005E066E">
        <w:rPr>
          <w:rFonts w:asciiTheme="majorHAnsi" w:hAnsiTheme="majorHAnsi"/>
          <w:b/>
          <w:bCs/>
        </w:rPr>
        <w:t xml:space="preserve">able </w:t>
      </w:r>
      <w:r w:rsidR="005E066E">
        <w:rPr>
          <w:rFonts w:asciiTheme="majorHAnsi" w:hAnsiTheme="majorHAnsi"/>
          <w:b/>
          <w:bCs/>
        </w:rPr>
        <w:t>6-4</w:t>
      </w:r>
      <w:r w:rsidRPr="005E066E">
        <w:rPr>
          <w:rFonts w:asciiTheme="majorHAnsi" w:hAnsiTheme="majorHAnsi"/>
          <w:b/>
          <w:bCs/>
        </w:rPr>
        <w:t xml:space="preserve">: AECOM estimate of specialist housing for older people need in </w:t>
      </w:r>
      <w:r w:rsidR="00D143F2" w:rsidRPr="005E066E">
        <w:rPr>
          <w:rFonts w:asciiTheme="majorHAnsi" w:hAnsiTheme="majorHAnsi"/>
          <w:b/>
          <w:bCs/>
        </w:rPr>
        <w:t>Consett</w:t>
      </w:r>
      <w:r w:rsidRPr="005E066E">
        <w:rPr>
          <w:rFonts w:asciiTheme="majorHAnsi" w:hAnsiTheme="majorHAnsi"/>
          <w:b/>
          <w:bCs/>
        </w:rPr>
        <w:t xml:space="preserve"> by the end of </w:t>
      </w:r>
      <w:r w:rsidR="0096304E" w:rsidRPr="005E066E">
        <w:rPr>
          <w:rFonts w:asciiTheme="majorHAnsi" w:hAnsiTheme="majorHAnsi"/>
          <w:b/>
          <w:bCs/>
        </w:rPr>
        <w:t>the Neighbourhood Plan period</w:t>
      </w:r>
    </w:p>
    <w:tbl>
      <w:tblPr>
        <w:tblStyle w:val="TableGrid40"/>
        <w:tblW w:w="5000" w:type="pct"/>
        <w:tblInd w:w="-5" w:type="dxa"/>
        <w:tblLook w:val="04A0" w:firstRow="1" w:lastRow="0" w:firstColumn="1" w:lastColumn="0" w:noHBand="0" w:noVBand="1"/>
      </w:tblPr>
      <w:tblGrid>
        <w:gridCol w:w="2781"/>
        <w:gridCol w:w="2304"/>
        <w:gridCol w:w="3395"/>
        <w:gridCol w:w="1344"/>
      </w:tblGrid>
      <w:tr w:rsidR="003B3C47" w:rsidRPr="005E066E" w14:paraId="67A44257" w14:textId="77777777" w:rsidTr="004172FF">
        <w:trPr>
          <w:cnfStyle w:val="100000000000" w:firstRow="1" w:lastRow="0" w:firstColumn="0" w:lastColumn="0" w:oddVBand="0" w:evenVBand="0" w:oddHBand="0" w:evenHBand="0" w:firstRowFirstColumn="0" w:firstRowLastColumn="0" w:lastRowFirstColumn="0" w:lastRowLastColumn="0"/>
          <w:trHeight w:val="415"/>
        </w:trPr>
        <w:tc>
          <w:tcPr>
            <w:tcW w:w="1415" w:type="pct"/>
            <w:shd w:val="clear" w:color="auto" w:fill="000000" w:themeFill="text1"/>
            <w:vAlign w:val="center"/>
          </w:tcPr>
          <w:p w14:paraId="186A2090" w14:textId="77777777" w:rsidR="003B3C47" w:rsidRPr="005E066E" w:rsidRDefault="003B3C47" w:rsidP="00252C91">
            <w:pPr>
              <w:spacing w:line="276" w:lineRule="auto"/>
              <w:jc w:val="both"/>
              <w:rPr>
                <w:color w:val="FFFFFF" w:themeColor="background1"/>
                <w:szCs w:val="24"/>
              </w:rPr>
            </w:pPr>
            <w:r w:rsidRPr="005E066E">
              <w:rPr>
                <w:b/>
                <w:color w:val="FFFFFF" w:themeColor="background1"/>
                <w:szCs w:val="24"/>
              </w:rPr>
              <w:t>Type</w:t>
            </w:r>
          </w:p>
        </w:tc>
        <w:tc>
          <w:tcPr>
            <w:tcW w:w="1172" w:type="pct"/>
            <w:shd w:val="clear" w:color="auto" w:fill="000000" w:themeFill="text1"/>
            <w:vAlign w:val="center"/>
          </w:tcPr>
          <w:p w14:paraId="3A6FE7B7" w14:textId="77777777" w:rsidR="003B3C47" w:rsidRPr="005E066E" w:rsidRDefault="003B3C47" w:rsidP="00EC145D">
            <w:pPr>
              <w:spacing w:line="276" w:lineRule="auto"/>
              <w:jc w:val="center"/>
              <w:rPr>
                <w:color w:val="FFFFFF" w:themeColor="background1"/>
                <w:szCs w:val="24"/>
              </w:rPr>
            </w:pPr>
            <w:r w:rsidRPr="005E066E">
              <w:rPr>
                <w:b/>
                <w:color w:val="FFFFFF" w:themeColor="background1"/>
                <w:szCs w:val="24"/>
              </w:rPr>
              <w:t>Affordable</w:t>
            </w:r>
          </w:p>
        </w:tc>
        <w:tc>
          <w:tcPr>
            <w:tcW w:w="1728" w:type="pct"/>
            <w:shd w:val="clear" w:color="auto" w:fill="000000" w:themeFill="text1"/>
            <w:vAlign w:val="center"/>
          </w:tcPr>
          <w:p w14:paraId="7219222E" w14:textId="77777777" w:rsidR="003B3C47" w:rsidRPr="005E066E" w:rsidRDefault="003B3C47" w:rsidP="00EC145D">
            <w:pPr>
              <w:spacing w:line="276" w:lineRule="auto"/>
              <w:jc w:val="center"/>
              <w:rPr>
                <w:color w:val="FFFFFF" w:themeColor="background1"/>
                <w:szCs w:val="24"/>
              </w:rPr>
            </w:pPr>
            <w:r w:rsidRPr="005E066E">
              <w:rPr>
                <w:b/>
                <w:color w:val="FFFFFF" w:themeColor="background1"/>
                <w:szCs w:val="24"/>
              </w:rPr>
              <w:t>Market</w:t>
            </w:r>
          </w:p>
        </w:tc>
        <w:tc>
          <w:tcPr>
            <w:tcW w:w="684" w:type="pct"/>
            <w:shd w:val="clear" w:color="auto" w:fill="000000" w:themeFill="text1"/>
            <w:vAlign w:val="center"/>
          </w:tcPr>
          <w:p w14:paraId="49414296" w14:textId="61021E76" w:rsidR="003B3C47" w:rsidRPr="005E066E" w:rsidRDefault="003B3C47" w:rsidP="00EC145D">
            <w:pPr>
              <w:spacing w:line="276" w:lineRule="auto"/>
              <w:jc w:val="center"/>
              <w:rPr>
                <w:color w:val="FFFFFF" w:themeColor="background1"/>
                <w:szCs w:val="24"/>
              </w:rPr>
            </w:pPr>
            <w:r w:rsidRPr="005E066E">
              <w:rPr>
                <w:b/>
                <w:color w:val="FFFFFF" w:themeColor="background1"/>
                <w:szCs w:val="24"/>
              </w:rPr>
              <w:t>Total</w:t>
            </w:r>
          </w:p>
        </w:tc>
      </w:tr>
      <w:tr w:rsidR="003B3C47" w:rsidRPr="005E066E" w14:paraId="0CDB14AB" w14:textId="77777777" w:rsidTr="004172FF">
        <w:trPr>
          <w:trHeight w:val="585"/>
        </w:trPr>
        <w:tc>
          <w:tcPr>
            <w:tcW w:w="1415" w:type="pct"/>
            <w:vAlign w:val="center"/>
          </w:tcPr>
          <w:p w14:paraId="2391F93F" w14:textId="77777777" w:rsidR="003B3C47" w:rsidRPr="005E066E" w:rsidRDefault="003B3C47" w:rsidP="00252C91">
            <w:pPr>
              <w:jc w:val="both"/>
            </w:pPr>
            <w:r w:rsidRPr="005E066E">
              <w:t xml:space="preserve">Housing with care </w:t>
            </w:r>
          </w:p>
        </w:tc>
        <w:tc>
          <w:tcPr>
            <w:tcW w:w="1172" w:type="pct"/>
            <w:vAlign w:val="center"/>
          </w:tcPr>
          <w:p w14:paraId="3213A01B" w14:textId="53B4ABC5" w:rsidR="003B3C47" w:rsidRPr="005E066E" w:rsidRDefault="00EE7C4D" w:rsidP="00EC145D">
            <w:pPr>
              <w:spacing w:line="276" w:lineRule="auto"/>
              <w:jc w:val="center"/>
              <w:rPr>
                <w:szCs w:val="24"/>
              </w:rPr>
            </w:pPr>
            <w:r w:rsidRPr="005E066E">
              <w:rPr>
                <w:szCs w:val="24"/>
              </w:rPr>
              <w:t>172</w:t>
            </w:r>
          </w:p>
        </w:tc>
        <w:tc>
          <w:tcPr>
            <w:tcW w:w="1728" w:type="pct"/>
            <w:vAlign w:val="center"/>
          </w:tcPr>
          <w:p w14:paraId="35F20AD2" w14:textId="44B4E94B" w:rsidR="003B3C47" w:rsidRPr="005E066E" w:rsidRDefault="00EE7C4D" w:rsidP="00EC145D">
            <w:pPr>
              <w:spacing w:line="276" w:lineRule="auto"/>
              <w:jc w:val="center"/>
              <w:rPr>
                <w:szCs w:val="24"/>
              </w:rPr>
            </w:pPr>
            <w:r w:rsidRPr="005E066E">
              <w:rPr>
                <w:szCs w:val="24"/>
              </w:rPr>
              <w:t>304</w:t>
            </w:r>
          </w:p>
        </w:tc>
        <w:tc>
          <w:tcPr>
            <w:tcW w:w="684" w:type="pct"/>
            <w:vAlign w:val="center"/>
          </w:tcPr>
          <w:p w14:paraId="2195DA0E" w14:textId="575B2952" w:rsidR="003B3C47" w:rsidRPr="005E066E" w:rsidRDefault="00EE7C4D" w:rsidP="00EC145D">
            <w:pPr>
              <w:spacing w:line="276" w:lineRule="auto"/>
              <w:jc w:val="center"/>
              <w:rPr>
                <w:b/>
                <w:bCs/>
                <w:szCs w:val="24"/>
              </w:rPr>
            </w:pPr>
            <w:r w:rsidRPr="005E066E">
              <w:rPr>
                <w:b/>
                <w:bCs/>
                <w:szCs w:val="24"/>
              </w:rPr>
              <w:t>476</w:t>
            </w:r>
          </w:p>
        </w:tc>
      </w:tr>
      <w:tr w:rsidR="003B3C47" w:rsidRPr="005E066E" w14:paraId="1AC55997" w14:textId="77777777" w:rsidTr="004172FF">
        <w:trPr>
          <w:trHeight w:val="185"/>
        </w:trPr>
        <w:tc>
          <w:tcPr>
            <w:tcW w:w="1415" w:type="pct"/>
            <w:vAlign w:val="center"/>
          </w:tcPr>
          <w:p w14:paraId="4BB4A5D5" w14:textId="77777777" w:rsidR="003B3C47" w:rsidRPr="005E066E" w:rsidRDefault="003B3C47" w:rsidP="00252C91">
            <w:pPr>
              <w:jc w:val="both"/>
            </w:pPr>
            <w:r w:rsidRPr="005E066E">
              <w:t>Adaptations, sheltered, or retirement living</w:t>
            </w:r>
          </w:p>
        </w:tc>
        <w:tc>
          <w:tcPr>
            <w:tcW w:w="1172" w:type="pct"/>
            <w:vAlign w:val="center"/>
          </w:tcPr>
          <w:p w14:paraId="6C4AC1AE" w14:textId="443C6294" w:rsidR="003B3C47" w:rsidRPr="005E066E" w:rsidRDefault="00EE7C4D" w:rsidP="00EC145D">
            <w:pPr>
              <w:spacing w:line="276" w:lineRule="auto"/>
              <w:jc w:val="center"/>
              <w:rPr>
                <w:szCs w:val="24"/>
              </w:rPr>
            </w:pPr>
            <w:r w:rsidRPr="005E066E">
              <w:rPr>
                <w:szCs w:val="24"/>
              </w:rPr>
              <w:t>125</w:t>
            </w:r>
          </w:p>
        </w:tc>
        <w:tc>
          <w:tcPr>
            <w:tcW w:w="1728" w:type="pct"/>
            <w:vAlign w:val="center"/>
          </w:tcPr>
          <w:p w14:paraId="0AF5203B" w14:textId="2CAE4DA2" w:rsidR="003B3C47" w:rsidRPr="005E066E" w:rsidRDefault="00E7214D" w:rsidP="00EC145D">
            <w:pPr>
              <w:spacing w:line="276" w:lineRule="auto"/>
              <w:jc w:val="center"/>
              <w:rPr>
                <w:szCs w:val="24"/>
              </w:rPr>
            </w:pPr>
            <w:r w:rsidRPr="005E066E">
              <w:rPr>
                <w:szCs w:val="24"/>
              </w:rPr>
              <w:t>317</w:t>
            </w:r>
          </w:p>
        </w:tc>
        <w:tc>
          <w:tcPr>
            <w:tcW w:w="684" w:type="pct"/>
            <w:vAlign w:val="center"/>
          </w:tcPr>
          <w:p w14:paraId="78E24030" w14:textId="1FB18149" w:rsidR="003B3C47" w:rsidRPr="005E066E" w:rsidRDefault="00E7214D" w:rsidP="00EC145D">
            <w:pPr>
              <w:spacing w:line="276" w:lineRule="auto"/>
              <w:jc w:val="center"/>
              <w:rPr>
                <w:b/>
                <w:bCs/>
                <w:szCs w:val="24"/>
              </w:rPr>
            </w:pPr>
            <w:r w:rsidRPr="005E066E">
              <w:rPr>
                <w:b/>
                <w:bCs/>
                <w:szCs w:val="24"/>
              </w:rPr>
              <w:t>443</w:t>
            </w:r>
          </w:p>
        </w:tc>
      </w:tr>
      <w:tr w:rsidR="003B3C47" w:rsidRPr="005E066E" w14:paraId="4C1A639A" w14:textId="77777777" w:rsidTr="004172FF">
        <w:trPr>
          <w:trHeight w:val="185"/>
        </w:trPr>
        <w:tc>
          <w:tcPr>
            <w:tcW w:w="1415" w:type="pct"/>
            <w:tcBorders>
              <w:bottom w:val="single" w:sz="4" w:space="0" w:color="auto"/>
            </w:tcBorders>
            <w:vAlign w:val="center"/>
          </w:tcPr>
          <w:p w14:paraId="200ABBEA" w14:textId="77777777" w:rsidR="003B3C47" w:rsidRPr="005E066E" w:rsidRDefault="003B3C47" w:rsidP="00252C91">
            <w:pPr>
              <w:spacing w:line="276" w:lineRule="auto"/>
              <w:jc w:val="both"/>
              <w:rPr>
                <w:szCs w:val="24"/>
              </w:rPr>
            </w:pPr>
            <w:r w:rsidRPr="005E066E">
              <w:rPr>
                <w:b/>
                <w:szCs w:val="24"/>
              </w:rPr>
              <w:t>Total</w:t>
            </w:r>
          </w:p>
        </w:tc>
        <w:tc>
          <w:tcPr>
            <w:tcW w:w="1172" w:type="pct"/>
            <w:tcBorders>
              <w:bottom w:val="single" w:sz="4" w:space="0" w:color="auto"/>
            </w:tcBorders>
            <w:vAlign w:val="center"/>
          </w:tcPr>
          <w:p w14:paraId="56D7D37A" w14:textId="46796DDA" w:rsidR="003B3C47" w:rsidRPr="005E066E" w:rsidRDefault="00E7214D" w:rsidP="00EC145D">
            <w:pPr>
              <w:spacing w:line="276" w:lineRule="auto"/>
              <w:jc w:val="center"/>
              <w:rPr>
                <w:szCs w:val="24"/>
              </w:rPr>
            </w:pPr>
            <w:r w:rsidRPr="005E066E">
              <w:rPr>
                <w:b/>
                <w:szCs w:val="24"/>
              </w:rPr>
              <w:t>298</w:t>
            </w:r>
          </w:p>
        </w:tc>
        <w:tc>
          <w:tcPr>
            <w:tcW w:w="1728" w:type="pct"/>
            <w:tcBorders>
              <w:bottom w:val="single" w:sz="4" w:space="0" w:color="auto"/>
            </w:tcBorders>
            <w:vAlign w:val="center"/>
          </w:tcPr>
          <w:p w14:paraId="30D8D67F" w14:textId="3A6D4CD6" w:rsidR="003B3C47" w:rsidRPr="005E066E" w:rsidRDefault="00E7214D" w:rsidP="00EC145D">
            <w:pPr>
              <w:spacing w:line="276" w:lineRule="auto"/>
              <w:jc w:val="center"/>
              <w:rPr>
                <w:szCs w:val="24"/>
              </w:rPr>
            </w:pPr>
            <w:r w:rsidRPr="005E066E">
              <w:rPr>
                <w:b/>
                <w:szCs w:val="24"/>
              </w:rPr>
              <w:t>621</w:t>
            </w:r>
          </w:p>
        </w:tc>
        <w:tc>
          <w:tcPr>
            <w:tcW w:w="684" w:type="pct"/>
            <w:tcBorders>
              <w:bottom w:val="single" w:sz="4" w:space="0" w:color="auto"/>
            </w:tcBorders>
            <w:vAlign w:val="center"/>
          </w:tcPr>
          <w:p w14:paraId="09A9A48D" w14:textId="5150E9EA" w:rsidR="003B3C47" w:rsidRPr="005E066E" w:rsidRDefault="00E7214D" w:rsidP="00EC145D">
            <w:pPr>
              <w:spacing w:line="276" w:lineRule="auto"/>
              <w:jc w:val="center"/>
              <w:rPr>
                <w:szCs w:val="24"/>
              </w:rPr>
            </w:pPr>
            <w:r w:rsidRPr="005E066E">
              <w:rPr>
                <w:b/>
                <w:szCs w:val="24"/>
              </w:rPr>
              <w:t>918</w:t>
            </w:r>
          </w:p>
        </w:tc>
      </w:tr>
    </w:tbl>
    <w:p w14:paraId="2B6BF57F" w14:textId="77777777" w:rsidR="003B3C47" w:rsidRPr="005E066E" w:rsidRDefault="003B3C47" w:rsidP="00252C91">
      <w:pPr>
        <w:pStyle w:val="Source"/>
        <w:jc w:val="both"/>
        <w:rPr>
          <w:lang w:val="en-US"/>
        </w:rPr>
      </w:pPr>
      <w:r w:rsidRPr="005E066E">
        <w:rPr>
          <w:lang w:val="en-US"/>
        </w:rPr>
        <w:t>Source: Census 2011, AECOM Calculations</w:t>
      </w:r>
    </w:p>
    <w:p w14:paraId="67B5C7D9" w14:textId="759D853C" w:rsidR="003B3C47" w:rsidRPr="005E066E" w:rsidRDefault="003B3C47" w:rsidP="00252C91">
      <w:pPr>
        <w:pStyle w:val="Numberedtext"/>
        <w:jc w:val="both"/>
      </w:pPr>
      <w:r w:rsidRPr="005E066E">
        <w:t xml:space="preserve">It is worth comparing these findings with the recommendations of the Housing Learning and Improvement Network (HLIN), one of the simplest and widely used models estimating for the housing needs of older people. </w:t>
      </w:r>
      <w:r w:rsidRPr="005E066E">
        <w:rPr>
          <w:color w:val="FF0000"/>
        </w:rPr>
        <w:fldChar w:fldCharType="begin"/>
      </w:r>
      <w:r w:rsidRPr="005E066E">
        <w:instrText xml:space="preserve"> REF _Ref945316 \h </w:instrText>
      </w:r>
      <w:r w:rsidRPr="005E066E">
        <w:rPr>
          <w:color w:val="FF0000"/>
        </w:rPr>
        <w:instrText xml:space="preserve"> \* MERGEFORMAT </w:instrText>
      </w:r>
      <w:r w:rsidRPr="005E066E">
        <w:rPr>
          <w:color w:val="FF0000"/>
        </w:rPr>
      </w:r>
      <w:r w:rsidRPr="005E066E">
        <w:rPr>
          <w:color w:val="FF0000"/>
        </w:rPr>
        <w:fldChar w:fldCharType="separate"/>
      </w:r>
      <w:r w:rsidRPr="005E066E">
        <w:t xml:space="preserve">Table </w:t>
      </w:r>
      <w:r w:rsidR="005E066E" w:rsidRPr="005E066E">
        <w:rPr>
          <w:noProof/>
        </w:rPr>
        <w:t>6-4</w:t>
      </w:r>
      <w:r w:rsidRPr="005E066E">
        <w:rPr>
          <w:color w:val="FF0000"/>
        </w:rPr>
        <w:fldChar w:fldCharType="end"/>
      </w:r>
      <w:r w:rsidRPr="005E066E">
        <w:t xml:space="preserve"> in Appendix E reproduces the key assumptions of HLIN’s Strategic Housing for Older People (SHOP) toolkit. Applying those assumptions to the growth in the older population of </w:t>
      </w:r>
      <w:r w:rsidR="00D143F2" w:rsidRPr="005E066E">
        <w:t>Consett</w:t>
      </w:r>
      <w:r w:rsidRPr="005E066E">
        <w:t xml:space="preserve"> results in a total of </w:t>
      </w:r>
      <w:r w:rsidR="005E066E" w:rsidRPr="005E066E">
        <w:rPr>
          <w:szCs w:val="24"/>
        </w:rPr>
        <w:t>506</w:t>
      </w:r>
      <w:r w:rsidRPr="005E066E">
        <w:t xml:space="preserve"> specialist dwellings that might be required to the end of </w:t>
      </w:r>
      <w:r w:rsidR="0096304E" w:rsidRPr="005E066E">
        <w:t>the Neighbourhood Plan period</w:t>
      </w:r>
      <w:r w:rsidRPr="005E066E">
        <w:t xml:space="preserve">. This is set out in Table </w:t>
      </w:r>
      <w:r w:rsidR="005E066E" w:rsidRPr="005E066E">
        <w:t>6-4</w:t>
      </w:r>
      <w:r w:rsidRPr="005E066E">
        <w:t>.</w:t>
      </w:r>
    </w:p>
    <w:p w14:paraId="43C0D14F" w14:textId="231B1AFD" w:rsidR="003B3C47" w:rsidRPr="007B6601" w:rsidRDefault="003B3C47" w:rsidP="00252C91">
      <w:pPr>
        <w:keepNext/>
        <w:spacing w:after="120" w:line="276" w:lineRule="auto"/>
        <w:jc w:val="both"/>
        <w:rPr>
          <w:rFonts w:asciiTheme="majorHAnsi" w:hAnsiTheme="majorHAnsi"/>
          <w:b/>
          <w:bCs/>
        </w:rPr>
      </w:pPr>
      <w:bookmarkStart w:id="171" w:name="_Ref531084105"/>
      <w:r w:rsidRPr="005E066E">
        <w:rPr>
          <w:rFonts w:asciiTheme="majorHAnsi" w:hAnsiTheme="majorHAnsi"/>
          <w:b/>
          <w:bCs/>
        </w:rPr>
        <w:t>Tab</w:t>
      </w:r>
      <w:bookmarkEnd w:id="171"/>
      <w:r w:rsidRPr="005E066E">
        <w:rPr>
          <w:rFonts w:asciiTheme="majorHAnsi" w:hAnsiTheme="majorHAnsi"/>
          <w:b/>
          <w:bCs/>
        </w:rPr>
        <w:t xml:space="preserve">le </w:t>
      </w:r>
      <w:r w:rsidR="005E066E" w:rsidRPr="005E066E">
        <w:rPr>
          <w:rFonts w:asciiTheme="majorHAnsi" w:hAnsiTheme="majorHAnsi"/>
          <w:b/>
          <w:bCs/>
        </w:rPr>
        <w:t>6-4</w:t>
      </w:r>
      <w:r w:rsidRPr="005E066E">
        <w:rPr>
          <w:rFonts w:asciiTheme="majorHAnsi" w:hAnsiTheme="majorHAnsi"/>
          <w:b/>
          <w:bCs/>
        </w:rPr>
        <w:t xml:space="preserve">: HLIN estimate of specialist housing for older people need in </w:t>
      </w:r>
      <w:r w:rsidR="00D143F2" w:rsidRPr="005E066E">
        <w:rPr>
          <w:rFonts w:asciiTheme="majorHAnsi" w:hAnsiTheme="majorHAnsi"/>
          <w:b/>
          <w:bCs/>
        </w:rPr>
        <w:t>Consett</w:t>
      </w:r>
      <w:r w:rsidRPr="005E066E">
        <w:rPr>
          <w:rFonts w:asciiTheme="majorHAnsi" w:hAnsiTheme="majorHAnsi"/>
          <w:b/>
          <w:bCs/>
        </w:rPr>
        <w:t xml:space="preserve"> by the end of </w:t>
      </w:r>
      <w:r w:rsidR="0096304E" w:rsidRPr="005E066E">
        <w:rPr>
          <w:rFonts w:asciiTheme="majorHAnsi" w:hAnsiTheme="majorHAnsi"/>
          <w:b/>
          <w:bCs/>
        </w:rPr>
        <w:t>the Neighbourhood Plan period</w:t>
      </w:r>
    </w:p>
    <w:tbl>
      <w:tblPr>
        <w:tblStyle w:val="TableGrid40"/>
        <w:tblW w:w="5000" w:type="pct"/>
        <w:tblInd w:w="-5" w:type="dxa"/>
        <w:tblLook w:val="04A0" w:firstRow="1" w:lastRow="0" w:firstColumn="1" w:lastColumn="0" w:noHBand="0" w:noVBand="1"/>
      </w:tblPr>
      <w:tblGrid>
        <w:gridCol w:w="2895"/>
        <w:gridCol w:w="2886"/>
        <w:gridCol w:w="2886"/>
        <w:gridCol w:w="1157"/>
      </w:tblGrid>
      <w:tr w:rsidR="003B3C47" w:rsidRPr="00826421" w14:paraId="2D8B9ABF" w14:textId="77777777" w:rsidTr="004172FF">
        <w:trPr>
          <w:cnfStyle w:val="100000000000" w:firstRow="1" w:lastRow="0" w:firstColumn="0" w:lastColumn="0" w:oddVBand="0" w:evenVBand="0" w:oddHBand="0" w:evenHBand="0" w:firstRowFirstColumn="0" w:firstRowLastColumn="0" w:lastRowFirstColumn="0" w:lastRowLastColumn="0"/>
          <w:trHeight w:val="259"/>
        </w:trPr>
        <w:tc>
          <w:tcPr>
            <w:tcW w:w="1473" w:type="pct"/>
            <w:shd w:val="clear" w:color="auto" w:fill="000000" w:themeFill="text1"/>
            <w:vAlign w:val="center"/>
          </w:tcPr>
          <w:p w14:paraId="572A98BE" w14:textId="77777777" w:rsidR="003B3C47" w:rsidRPr="00597BD0" w:rsidRDefault="003B3C47" w:rsidP="00252C91">
            <w:pPr>
              <w:spacing w:line="276" w:lineRule="auto"/>
              <w:jc w:val="both"/>
              <w:rPr>
                <w:iCs/>
                <w:color w:val="FFFFFF" w:themeColor="background1"/>
                <w:szCs w:val="24"/>
              </w:rPr>
            </w:pPr>
            <w:r w:rsidRPr="00597BD0">
              <w:rPr>
                <w:b/>
                <w:iCs/>
                <w:color w:val="FFFFFF" w:themeColor="background1"/>
                <w:szCs w:val="24"/>
              </w:rPr>
              <w:t>Type</w:t>
            </w:r>
          </w:p>
        </w:tc>
        <w:tc>
          <w:tcPr>
            <w:tcW w:w="1469" w:type="pct"/>
            <w:shd w:val="clear" w:color="auto" w:fill="000000" w:themeFill="text1"/>
            <w:vAlign w:val="center"/>
          </w:tcPr>
          <w:p w14:paraId="18329116" w14:textId="77777777" w:rsidR="003B3C47" w:rsidRPr="00597BD0" w:rsidRDefault="003B3C47" w:rsidP="00EC145D">
            <w:pPr>
              <w:spacing w:line="276" w:lineRule="auto"/>
              <w:jc w:val="center"/>
              <w:rPr>
                <w:iCs/>
                <w:color w:val="FFFFFF" w:themeColor="background1"/>
                <w:szCs w:val="24"/>
              </w:rPr>
            </w:pPr>
            <w:r w:rsidRPr="00597BD0">
              <w:rPr>
                <w:b/>
                <w:iCs/>
                <w:color w:val="FFFFFF" w:themeColor="background1"/>
                <w:szCs w:val="24"/>
              </w:rPr>
              <w:t>Affordable</w:t>
            </w:r>
          </w:p>
        </w:tc>
        <w:tc>
          <w:tcPr>
            <w:tcW w:w="1469" w:type="pct"/>
            <w:shd w:val="clear" w:color="auto" w:fill="000000" w:themeFill="text1"/>
            <w:vAlign w:val="center"/>
          </w:tcPr>
          <w:p w14:paraId="66F4A739" w14:textId="77777777" w:rsidR="003B3C47" w:rsidRPr="00597BD0" w:rsidRDefault="003B3C47" w:rsidP="00EC145D">
            <w:pPr>
              <w:spacing w:line="276" w:lineRule="auto"/>
              <w:jc w:val="center"/>
              <w:rPr>
                <w:iCs/>
                <w:color w:val="FFFFFF" w:themeColor="background1"/>
                <w:szCs w:val="24"/>
              </w:rPr>
            </w:pPr>
            <w:r w:rsidRPr="00597BD0">
              <w:rPr>
                <w:b/>
                <w:iCs/>
                <w:color w:val="FFFFFF" w:themeColor="background1"/>
                <w:szCs w:val="24"/>
              </w:rPr>
              <w:t>Market</w:t>
            </w:r>
          </w:p>
        </w:tc>
        <w:tc>
          <w:tcPr>
            <w:tcW w:w="589" w:type="pct"/>
            <w:shd w:val="clear" w:color="auto" w:fill="000000" w:themeFill="text1"/>
            <w:vAlign w:val="center"/>
          </w:tcPr>
          <w:p w14:paraId="52C01251" w14:textId="77777777" w:rsidR="003B3C47" w:rsidRPr="00597BD0" w:rsidRDefault="003B3C47" w:rsidP="00EC145D">
            <w:pPr>
              <w:spacing w:line="276" w:lineRule="auto"/>
              <w:jc w:val="center"/>
              <w:rPr>
                <w:color w:val="FFFFFF" w:themeColor="background1"/>
                <w:szCs w:val="24"/>
              </w:rPr>
            </w:pPr>
            <w:r w:rsidRPr="00597BD0">
              <w:rPr>
                <w:b/>
                <w:color w:val="FFFFFF" w:themeColor="background1"/>
                <w:szCs w:val="24"/>
              </w:rPr>
              <w:t>Total</w:t>
            </w:r>
          </w:p>
        </w:tc>
      </w:tr>
      <w:tr w:rsidR="003B3C47" w:rsidRPr="00826421" w14:paraId="3AF212A2" w14:textId="77777777" w:rsidTr="004172FF">
        <w:trPr>
          <w:trHeight w:val="795"/>
        </w:trPr>
        <w:tc>
          <w:tcPr>
            <w:tcW w:w="1473" w:type="pct"/>
            <w:vAlign w:val="center"/>
          </w:tcPr>
          <w:p w14:paraId="5FBC6BC0" w14:textId="77777777" w:rsidR="003B3C47" w:rsidRPr="00597BD0" w:rsidRDefault="003B3C47" w:rsidP="00252C91">
            <w:pPr>
              <w:jc w:val="both"/>
              <w:rPr>
                <w:iCs/>
              </w:rPr>
            </w:pPr>
            <w:r w:rsidRPr="00597BD0">
              <w:t xml:space="preserve">Housing with care </w:t>
            </w:r>
          </w:p>
        </w:tc>
        <w:tc>
          <w:tcPr>
            <w:tcW w:w="1469" w:type="pct"/>
            <w:vAlign w:val="center"/>
          </w:tcPr>
          <w:p w14:paraId="5A7E80D6" w14:textId="6E9CD61A" w:rsidR="003B3C47" w:rsidRPr="00597BD0" w:rsidRDefault="00E7214D" w:rsidP="00EC145D">
            <w:pPr>
              <w:spacing w:line="276" w:lineRule="auto"/>
              <w:jc w:val="center"/>
              <w:rPr>
                <w:iCs/>
                <w:color w:val="000000" w:themeColor="text1"/>
                <w:szCs w:val="24"/>
              </w:rPr>
            </w:pPr>
            <w:r>
              <w:rPr>
                <w:szCs w:val="24"/>
              </w:rPr>
              <w:t>63</w:t>
            </w:r>
          </w:p>
        </w:tc>
        <w:tc>
          <w:tcPr>
            <w:tcW w:w="1469" w:type="pct"/>
            <w:vAlign w:val="center"/>
          </w:tcPr>
          <w:p w14:paraId="422174A6" w14:textId="453C77B1" w:rsidR="003B3C47" w:rsidRPr="00597BD0" w:rsidRDefault="00E7214D" w:rsidP="00EC145D">
            <w:pPr>
              <w:spacing w:line="276" w:lineRule="auto"/>
              <w:jc w:val="center"/>
              <w:rPr>
                <w:iCs/>
                <w:szCs w:val="24"/>
              </w:rPr>
            </w:pPr>
            <w:r>
              <w:rPr>
                <w:szCs w:val="24"/>
              </w:rPr>
              <w:t>8</w:t>
            </w:r>
            <w:r w:rsidR="00082788">
              <w:rPr>
                <w:szCs w:val="24"/>
              </w:rPr>
              <w:t>0</w:t>
            </w:r>
          </w:p>
        </w:tc>
        <w:tc>
          <w:tcPr>
            <w:tcW w:w="589" w:type="pct"/>
            <w:vAlign w:val="center"/>
          </w:tcPr>
          <w:p w14:paraId="1884D528" w14:textId="3AA8A4DE" w:rsidR="003B3C47" w:rsidRPr="004D4702" w:rsidRDefault="00E7214D" w:rsidP="00EC145D">
            <w:pPr>
              <w:spacing w:line="276" w:lineRule="auto"/>
              <w:jc w:val="center"/>
              <w:rPr>
                <w:b/>
                <w:bCs/>
                <w:szCs w:val="24"/>
              </w:rPr>
            </w:pPr>
            <w:r>
              <w:rPr>
                <w:b/>
                <w:bCs/>
                <w:szCs w:val="24"/>
              </w:rPr>
              <w:t>143</w:t>
            </w:r>
          </w:p>
        </w:tc>
      </w:tr>
      <w:tr w:rsidR="003B3C47" w:rsidRPr="00826421" w14:paraId="38C9B753" w14:textId="77777777" w:rsidTr="004172FF">
        <w:trPr>
          <w:trHeight w:val="142"/>
        </w:trPr>
        <w:tc>
          <w:tcPr>
            <w:tcW w:w="1473" w:type="pct"/>
            <w:vAlign w:val="center"/>
          </w:tcPr>
          <w:p w14:paraId="73C1A60B" w14:textId="77777777" w:rsidR="003B3C47" w:rsidRPr="00597BD0" w:rsidRDefault="003B3C47" w:rsidP="00252C91">
            <w:pPr>
              <w:jc w:val="both"/>
              <w:rPr>
                <w:iCs/>
              </w:rPr>
            </w:pPr>
            <w:r w:rsidRPr="00B169C3">
              <w:t>Adaptations, sheltered, or retirement living</w:t>
            </w:r>
          </w:p>
        </w:tc>
        <w:tc>
          <w:tcPr>
            <w:tcW w:w="1469" w:type="pct"/>
            <w:vAlign w:val="center"/>
          </w:tcPr>
          <w:p w14:paraId="670BE1FD" w14:textId="3BC7227E" w:rsidR="003B3C47" w:rsidRPr="00597BD0" w:rsidRDefault="00082788" w:rsidP="00EC145D">
            <w:pPr>
              <w:spacing w:line="276" w:lineRule="auto"/>
              <w:jc w:val="center"/>
              <w:rPr>
                <w:iCs/>
                <w:szCs w:val="24"/>
              </w:rPr>
            </w:pPr>
            <w:r>
              <w:rPr>
                <w:szCs w:val="24"/>
              </w:rPr>
              <w:t>121</w:t>
            </w:r>
          </w:p>
        </w:tc>
        <w:tc>
          <w:tcPr>
            <w:tcW w:w="1469" w:type="pct"/>
            <w:vAlign w:val="center"/>
          </w:tcPr>
          <w:p w14:paraId="4DE999A0" w14:textId="53064FBE" w:rsidR="003B3C47" w:rsidRPr="00597BD0" w:rsidRDefault="00082788" w:rsidP="00EC145D">
            <w:pPr>
              <w:spacing w:line="276" w:lineRule="auto"/>
              <w:jc w:val="center"/>
              <w:rPr>
                <w:iCs/>
                <w:szCs w:val="24"/>
              </w:rPr>
            </w:pPr>
            <w:r>
              <w:rPr>
                <w:szCs w:val="24"/>
              </w:rPr>
              <w:t>242</w:t>
            </w:r>
          </w:p>
        </w:tc>
        <w:tc>
          <w:tcPr>
            <w:tcW w:w="589" w:type="pct"/>
            <w:vAlign w:val="center"/>
          </w:tcPr>
          <w:p w14:paraId="15B76C7D" w14:textId="477D3DA7" w:rsidR="003B3C47" w:rsidRPr="004D4702" w:rsidRDefault="00082788" w:rsidP="00EC145D">
            <w:pPr>
              <w:spacing w:line="276" w:lineRule="auto"/>
              <w:jc w:val="center"/>
              <w:rPr>
                <w:b/>
                <w:bCs/>
                <w:szCs w:val="24"/>
              </w:rPr>
            </w:pPr>
            <w:r>
              <w:rPr>
                <w:b/>
                <w:bCs/>
                <w:szCs w:val="24"/>
              </w:rPr>
              <w:t>363</w:t>
            </w:r>
          </w:p>
        </w:tc>
      </w:tr>
      <w:tr w:rsidR="003B3C47" w:rsidRPr="00826421" w14:paraId="45273FA0" w14:textId="77777777" w:rsidTr="004172FF">
        <w:trPr>
          <w:trHeight w:val="127"/>
        </w:trPr>
        <w:tc>
          <w:tcPr>
            <w:tcW w:w="1473" w:type="pct"/>
            <w:tcBorders>
              <w:bottom w:val="single" w:sz="4" w:space="0" w:color="auto"/>
            </w:tcBorders>
            <w:vAlign w:val="center"/>
          </w:tcPr>
          <w:p w14:paraId="2D8AC2AC" w14:textId="77777777" w:rsidR="003B3C47" w:rsidRPr="00597BD0" w:rsidRDefault="003B3C47" w:rsidP="00252C91">
            <w:pPr>
              <w:spacing w:line="276" w:lineRule="auto"/>
              <w:jc w:val="both"/>
              <w:rPr>
                <w:b/>
                <w:iCs/>
                <w:szCs w:val="24"/>
              </w:rPr>
            </w:pPr>
            <w:r w:rsidRPr="00597BD0">
              <w:rPr>
                <w:b/>
                <w:iCs/>
                <w:szCs w:val="24"/>
              </w:rPr>
              <w:t xml:space="preserve">Total </w:t>
            </w:r>
          </w:p>
        </w:tc>
        <w:tc>
          <w:tcPr>
            <w:tcW w:w="1469" w:type="pct"/>
            <w:tcBorders>
              <w:bottom w:val="single" w:sz="4" w:space="0" w:color="auto"/>
            </w:tcBorders>
            <w:vAlign w:val="center"/>
          </w:tcPr>
          <w:p w14:paraId="3F5AF9F4" w14:textId="55837790" w:rsidR="003B3C47" w:rsidRPr="00597BD0" w:rsidRDefault="00082788" w:rsidP="00EC145D">
            <w:pPr>
              <w:spacing w:line="276" w:lineRule="auto"/>
              <w:jc w:val="center"/>
              <w:rPr>
                <w:b/>
                <w:iCs/>
                <w:szCs w:val="24"/>
              </w:rPr>
            </w:pPr>
            <w:r>
              <w:rPr>
                <w:b/>
                <w:szCs w:val="24"/>
              </w:rPr>
              <w:t>184</w:t>
            </w:r>
          </w:p>
        </w:tc>
        <w:tc>
          <w:tcPr>
            <w:tcW w:w="1469" w:type="pct"/>
            <w:tcBorders>
              <w:bottom w:val="single" w:sz="4" w:space="0" w:color="auto"/>
            </w:tcBorders>
            <w:vAlign w:val="center"/>
          </w:tcPr>
          <w:p w14:paraId="2033EBB2" w14:textId="1320BF1F" w:rsidR="003B3C47" w:rsidRPr="00597BD0" w:rsidRDefault="00082788" w:rsidP="00EC145D">
            <w:pPr>
              <w:spacing w:line="276" w:lineRule="auto"/>
              <w:jc w:val="center"/>
              <w:rPr>
                <w:b/>
                <w:iCs/>
                <w:szCs w:val="24"/>
              </w:rPr>
            </w:pPr>
            <w:r>
              <w:rPr>
                <w:b/>
                <w:szCs w:val="24"/>
              </w:rPr>
              <w:t>322</w:t>
            </w:r>
          </w:p>
        </w:tc>
        <w:tc>
          <w:tcPr>
            <w:tcW w:w="589" w:type="pct"/>
            <w:tcBorders>
              <w:bottom w:val="single" w:sz="4" w:space="0" w:color="auto"/>
            </w:tcBorders>
            <w:vAlign w:val="center"/>
          </w:tcPr>
          <w:p w14:paraId="02E5CE48" w14:textId="4E34AFD7" w:rsidR="003B3C47" w:rsidRPr="00597BD0" w:rsidRDefault="00082788" w:rsidP="00EC145D">
            <w:pPr>
              <w:spacing w:line="276" w:lineRule="auto"/>
              <w:jc w:val="center"/>
              <w:rPr>
                <w:b/>
                <w:szCs w:val="24"/>
              </w:rPr>
            </w:pPr>
            <w:r>
              <w:rPr>
                <w:b/>
                <w:szCs w:val="24"/>
              </w:rPr>
              <w:t>506</w:t>
            </w:r>
          </w:p>
        </w:tc>
      </w:tr>
    </w:tbl>
    <w:p w14:paraId="0DC0C20F" w14:textId="77777777" w:rsidR="003B3C47" w:rsidRDefault="003B3C47" w:rsidP="00252C91">
      <w:pPr>
        <w:pStyle w:val="Source"/>
        <w:jc w:val="both"/>
        <w:rPr>
          <w:lang w:val="en-US"/>
        </w:rPr>
      </w:pPr>
      <w:r w:rsidRPr="00826421">
        <w:rPr>
          <w:lang w:val="en-US"/>
        </w:rPr>
        <w:t>Source: Housing LIN, AECOM calculations</w:t>
      </w:r>
    </w:p>
    <w:p w14:paraId="02A93FED" w14:textId="77777777" w:rsidR="003B3C47" w:rsidRPr="003C03B9" w:rsidRDefault="003B3C47" w:rsidP="00252C91">
      <w:pPr>
        <w:pStyle w:val="Heading3"/>
        <w:jc w:val="both"/>
        <w:rPr>
          <w:color w:val="auto"/>
        </w:rPr>
      </w:pPr>
      <w:r w:rsidRPr="003C03B9">
        <w:rPr>
          <w:color w:val="auto"/>
        </w:rPr>
        <w:t>Further considerations</w:t>
      </w:r>
    </w:p>
    <w:p w14:paraId="320620DE" w14:textId="2A8BE33A" w:rsidR="003B3C47" w:rsidRDefault="003B3C47" w:rsidP="00252C91">
      <w:pPr>
        <w:pStyle w:val="Numberedtext"/>
        <w:jc w:val="both"/>
      </w:pPr>
      <w:r w:rsidRPr="003C03B9">
        <w:t>The above estimates suggest that potential need for specialist accommodation could be in the range of</w:t>
      </w:r>
      <w:r w:rsidR="005E066E">
        <w:t xml:space="preserve"> 506 </w:t>
      </w:r>
      <w:r w:rsidRPr="003C03B9">
        <w:t>-</w:t>
      </w:r>
      <w:r w:rsidR="005E066E">
        <w:t xml:space="preserve"> 918</w:t>
      </w:r>
      <w:r w:rsidRPr="003C03B9">
        <w:t xml:space="preserve"> units over the Neighbourhood Plan period. However, it may not be possible or appropriate to deliver this scale of </w:t>
      </w:r>
      <w:r w:rsidRPr="005E066E">
        <w:t xml:space="preserve">new accommodation. It is proportionally high in relation to the overall housing delivery expectation in the NA, and therefore should not necessarily be </w:t>
      </w:r>
      <w:proofErr w:type="spellStart"/>
      <w:r w:rsidRPr="005E066E">
        <w:t>prioritised</w:t>
      </w:r>
      <w:proofErr w:type="spellEnd"/>
      <w:r w:rsidRPr="005E066E">
        <w:t xml:space="preserve"> to the exclusion of other</w:t>
      </w:r>
      <w:r w:rsidRPr="003C03B9">
        <w:t xml:space="preserve"> groups, such as those in need of Affordable </w:t>
      </w:r>
      <w:r>
        <w:t xml:space="preserve">Housing. </w:t>
      </w:r>
    </w:p>
    <w:p w14:paraId="3027C037" w14:textId="77777777" w:rsidR="003B3C47" w:rsidRDefault="003B3C47" w:rsidP="00252C91">
      <w:pPr>
        <w:pStyle w:val="Numberedtext"/>
        <w:jc w:val="both"/>
      </w:pPr>
      <w:r>
        <w:t xml:space="preserve">In addition, </w:t>
      </w:r>
      <w:r w:rsidRPr="00826421">
        <w:t xml:space="preserve">specialist housing for </w:t>
      </w:r>
      <w:r>
        <w:t>older people</w:t>
      </w:r>
      <w:r w:rsidRPr="00826421">
        <w:t xml:space="preserve"> </w:t>
      </w:r>
      <w:r>
        <w:t>should only</w:t>
      </w:r>
      <w:r w:rsidRPr="00826421">
        <w:t xml:space="preserve"> be provided in sustainable, accessible locations</w:t>
      </w:r>
      <w:r>
        <w:t xml:space="preserve"> that offer services and facilities, public transport options, and the necessary workforce of carers and others.</w:t>
      </w:r>
    </w:p>
    <w:p w14:paraId="0005C71D" w14:textId="77777777" w:rsidR="003B3C47" w:rsidRPr="00826421" w:rsidRDefault="003B3C47" w:rsidP="00252C91">
      <w:pPr>
        <w:pStyle w:val="Numberedtext"/>
        <w:jc w:val="both"/>
      </w:pPr>
      <w:r w:rsidRPr="00826421">
        <w:t xml:space="preserve">Alongside the need for specialist housing to be provided in accessible locations, another important requirement is for cost effectiveness and economies of scale. This can be achieved by serving the specialist </w:t>
      </w:r>
      <w:r>
        <w:t xml:space="preserve">older </w:t>
      </w:r>
      <w:proofErr w:type="gramStart"/>
      <w:r>
        <w:t>persons</w:t>
      </w:r>
      <w:proofErr w:type="gramEnd"/>
      <w:r w:rsidRPr="00826421">
        <w:t xml:space="preserve"> housing needs arising from </w:t>
      </w:r>
      <w:proofErr w:type="gramStart"/>
      <w:r w:rsidRPr="00826421">
        <w:t xml:space="preserve">a </w:t>
      </w:r>
      <w:r w:rsidRPr="00826421">
        <w:lastRenderedPageBreak/>
        <w:t>number of</w:t>
      </w:r>
      <w:proofErr w:type="gramEnd"/>
      <w:r w:rsidRPr="00826421">
        <w:t xml:space="preserve"> different locations and/or </w:t>
      </w:r>
      <w:r>
        <w:t>Neighbourhood Area</w:t>
      </w:r>
      <w:r w:rsidRPr="00826421">
        <w:t xml:space="preserve">s from a single, </w:t>
      </w:r>
      <w:proofErr w:type="spellStart"/>
      <w:r w:rsidRPr="00826421">
        <w:t>centralised</w:t>
      </w:r>
      <w:proofErr w:type="spellEnd"/>
      <w:r w:rsidRPr="00826421">
        <w:t xml:space="preserve"> point (i.e. what is sometimes referred to as a ‘hub-and-spoke’ model).</w:t>
      </w:r>
    </w:p>
    <w:p w14:paraId="3B18CD24" w14:textId="15A1433B" w:rsidR="003B3C47" w:rsidRPr="00826421" w:rsidRDefault="003B3C47" w:rsidP="00252C91">
      <w:pPr>
        <w:pStyle w:val="Numberedtext"/>
        <w:jc w:val="both"/>
      </w:pPr>
      <w:r w:rsidRPr="00826421">
        <w:t xml:space="preserve">It is considered </w:t>
      </w:r>
      <w:r w:rsidRPr="005E066E">
        <w:t xml:space="preserve">that </w:t>
      </w:r>
      <w:r w:rsidR="00D143F2" w:rsidRPr="005E066E">
        <w:t>Consett</w:t>
      </w:r>
      <w:r w:rsidRPr="005E066E">
        <w:t xml:space="preserve"> is, in broad terms, a suitable location for specialist accommodation </w:t>
      </w:r>
      <w:proofErr w:type="gramStart"/>
      <w:r w:rsidRPr="005E066E">
        <w:t>on the basis of</w:t>
      </w:r>
      <w:proofErr w:type="gramEnd"/>
      <w:r w:rsidRPr="005E066E">
        <w:t xml:space="preserve"> the accessibility criteria and the considerations of cost-effectiveness above. As such, there is potential for such accommodation to be provided within the Neighbourhood Area (while noting there is no specific requirement or obligation to do so if there is potential to meet need arising from </w:t>
      </w:r>
      <w:r w:rsidR="00D143F2" w:rsidRPr="005E066E">
        <w:t>Consett</w:t>
      </w:r>
      <w:r w:rsidRPr="005E066E">
        <w:t xml:space="preserve"> in other suitable locations near to but outside the Plan area boundaries).</w:t>
      </w:r>
      <w:r w:rsidRPr="00826421">
        <w:t xml:space="preserve"> </w:t>
      </w:r>
    </w:p>
    <w:p w14:paraId="3E13A1F2" w14:textId="77777777" w:rsidR="003B3C47" w:rsidRPr="003C03B9" w:rsidRDefault="003B3C47" w:rsidP="00252C91">
      <w:pPr>
        <w:pStyle w:val="Numberedtext"/>
        <w:jc w:val="both"/>
      </w:pPr>
      <w:r>
        <w:t xml:space="preserve">It is also important to </w:t>
      </w:r>
      <w:proofErr w:type="spellStart"/>
      <w:r>
        <w:t>emphasise</w:t>
      </w:r>
      <w:proofErr w:type="spellEnd"/>
      <w:r>
        <w:t xml:space="preserve"> that the potential need for specialist housing for older people overlaps with the need for care home bedspaces and the need for adaptations to </w:t>
      </w:r>
      <w:r w:rsidRPr="003C03B9">
        <w:t>mainstream housing. These topics are considered in the sections below.</w:t>
      </w:r>
    </w:p>
    <w:p w14:paraId="12389F07" w14:textId="77777777" w:rsidR="003B3C47" w:rsidRPr="003C03B9" w:rsidRDefault="003B3C47" w:rsidP="00252C91">
      <w:pPr>
        <w:pStyle w:val="Heading2"/>
        <w:jc w:val="both"/>
        <w:rPr>
          <w:color w:val="auto"/>
        </w:rPr>
      </w:pPr>
      <w:r w:rsidRPr="003C03B9">
        <w:rPr>
          <w:color w:val="auto"/>
        </w:rPr>
        <w:t>Care homes</w:t>
      </w:r>
    </w:p>
    <w:p w14:paraId="2139886A" w14:textId="77777777" w:rsidR="003B3C47" w:rsidRPr="003C03B9" w:rsidRDefault="003B3C47" w:rsidP="00252C91">
      <w:pPr>
        <w:pStyle w:val="Numberedtext"/>
        <w:jc w:val="both"/>
      </w:pPr>
      <w:r w:rsidRPr="003C03B9">
        <w:t>Residential and nursing care homes are not defined as housing because they do not provide self-contained accommodation where an older person can live independently. Care home accommodation is defined as institutional accommodation rather than housing.</w:t>
      </w:r>
    </w:p>
    <w:p w14:paraId="37331F2D" w14:textId="77777777" w:rsidR="003B3C47" w:rsidRDefault="003B3C47" w:rsidP="00252C91">
      <w:pPr>
        <w:pStyle w:val="Numberedtext"/>
        <w:jc w:val="both"/>
      </w:pPr>
      <w:r w:rsidRPr="003C03B9">
        <w:t xml:space="preserve">However, residents of care homes may be similar in terms of their care and support needs as those living in specialist housing, or even mainstream housing with appropriate care and </w:t>
      </w:r>
      <w:r>
        <w:t>support delivered in their homes. There may be some scope for older people who would otherwise have been accommodated in care homes to meet their needs within specialist or mainstream housing if sufficient appropriate accommodation can be provided. Nevertheless, there is likely to be continued need for care home accommodation to meet more acute and severe needs, and to offer choice to some older people and their families about how they are cared for and supported.</w:t>
      </w:r>
    </w:p>
    <w:p w14:paraId="3F3FE4ED" w14:textId="77777777" w:rsidR="003B3C47" w:rsidRDefault="003B3C47" w:rsidP="00252C91">
      <w:pPr>
        <w:pStyle w:val="Numberedtext"/>
        <w:jc w:val="both"/>
      </w:pPr>
      <w:r>
        <w:t xml:space="preserve">Given the overlap between people who might enter care home accommodation and those who might take up specialist housing or care and support in their own home if available, estimates of the future need for care home accommodation, as with estimates of the need for specialist housing above, are uncertain and depend on both local and national policies, delivery, and the appetite of private developers. </w:t>
      </w:r>
    </w:p>
    <w:p w14:paraId="113E414D" w14:textId="08FDB6BC" w:rsidR="003B3C47" w:rsidRDefault="003B3C47" w:rsidP="00252C91">
      <w:pPr>
        <w:pStyle w:val="Numberedtext"/>
        <w:jc w:val="both"/>
      </w:pPr>
      <w:r>
        <w:t xml:space="preserve">AECOM has estimated the likely need for care home accommodation over the plan period, based on the HLIN SHOP toolkit prevalence rates for residential and nursing care homes for older people (aged 75+). This estimate applied the prevalence rates in the ‘More Choice, Greater Voice’ 2008 report which informed the development of the HLIN toolkit. This report suggested that 65 residential care beds per 1,000 people aged 75+ was an appropriate rate. For nursing care beds this is an extra 45 care beds per 1,000 people aged 75+.  Based on these rates, applied to the growth in the older population for consistency with the calculations above, it is estimated that in </w:t>
      </w:r>
      <w:r w:rsidR="00747B92">
        <w:t>2040</w:t>
      </w:r>
      <w:r>
        <w:t xml:space="preserve"> there would be a need for </w:t>
      </w:r>
      <w:r w:rsidR="00BE0064">
        <w:t>131</w:t>
      </w:r>
      <w:r>
        <w:t xml:space="preserve"> residential care beds and </w:t>
      </w:r>
      <w:r w:rsidR="005614F9">
        <w:t>91</w:t>
      </w:r>
      <w:r>
        <w:t xml:space="preserve"> nursing care beds in the NA</w:t>
      </w:r>
      <w:r w:rsidR="00D84C9C">
        <w:t>.</w:t>
      </w:r>
    </w:p>
    <w:p w14:paraId="5053EEDB" w14:textId="77777777" w:rsidR="003B3C47" w:rsidRPr="003C03B9" w:rsidRDefault="003B3C47" w:rsidP="00252C91">
      <w:pPr>
        <w:pStyle w:val="Numberedtext"/>
        <w:jc w:val="both"/>
      </w:pPr>
      <w:r>
        <w:t xml:space="preserve">It is important to note that as these estimates relate to care homes (or the population in institutions) rather than independent housing, these figures are in addition to the </w:t>
      </w:r>
      <w:r w:rsidRPr="003C03B9">
        <w:lastRenderedPageBreak/>
        <w:t xml:space="preserve">overall need for housing in the NA. However, as discussed in this section, some of the need for care home beds might be met by independent housing accommodation and vice versa. </w:t>
      </w:r>
    </w:p>
    <w:p w14:paraId="3EFF1A48" w14:textId="77777777" w:rsidR="003B3C47" w:rsidRPr="003C03B9" w:rsidRDefault="003B3C47" w:rsidP="00C12882">
      <w:pPr>
        <w:pStyle w:val="Heading2"/>
        <w:rPr>
          <w:color w:val="auto"/>
        </w:rPr>
      </w:pPr>
      <w:bookmarkStart w:id="172" w:name="_Toc13235062"/>
      <w:bookmarkStart w:id="173" w:name="_Toc31722675"/>
      <w:bookmarkStart w:id="174" w:name="_Toc102731881"/>
      <w:r w:rsidRPr="003C03B9">
        <w:rPr>
          <w:color w:val="auto"/>
        </w:rPr>
        <w:t>The Role of Mainstream Housing</w:t>
      </w:r>
    </w:p>
    <w:p w14:paraId="5BA00403" w14:textId="1ACB05CC" w:rsidR="003B3C47" w:rsidRPr="003C03B9" w:rsidRDefault="003B3C47" w:rsidP="00252C91">
      <w:pPr>
        <w:pStyle w:val="Numberedtext"/>
        <w:jc w:val="both"/>
      </w:pPr>
      <w:proofErr w:type="gramStart"/>
      <w:r w:rsidRPr="003C03B9">
        <w:t>The majority of</w:t>
      </w:r>
      <w:proofErr w:type="gramEnd"/>
      <w:r w:rsidRPr="003C03B9">
        <w:t xml:space="preserve"> older people live in mainstream housing and will continue to do so all of their lives. Based on the estimated numb</w:t>
      </w:r>
      <w:r w:rsidRPr="00BB3B52">
        <w:t xml:space="preserve">er of older people and the tally of the existing stock in Appendix E, around </w:t>
      </w:r>
      <w:r w:rsidR="00BB3B52" w:rsidRPr="00BB3B52">
        <w:t>84</w:t>
      </w:r>
      <w:r w:rsidRPr="00BB3B52">
        <w:t xml:space="preserve">% of the </w:t>
      </w:r>
      <w:r w:rsidR="00D143F2" w:rsidRPr="00BB3B52">
        <w:t>Consett</w:t>
      </w:r>
      <w:r w:rsidRPr="00BB3B52">
        <w:t xml:space="preserve"> population aged 75 and over is likely to live in the mainstream housing stock</w:t>
      </w:r>
      <w:r w:rsidRPr="00BB3B52">
        <w:rPr>
          <w:rStyle w:val="FootnoteReference"/>
        </w:rPr>
        <w:footnoteReference w:id="15"/>
      </w:r>
      <w:r w:rsidRPr="00BB3B52">
        <w:t>.</w:t>
      </w:r>
    </w:p>
    <w:p w14:paraId="24C6C859" w14:textId="77777777" w:rsidR="003B3C47" w:rsidRPr="003C03B9" w:rsidRDefault="003B3C47" w:rsidP="00252C91">
      <w:pPr>
        <w:pStyle w:val="Numberedtext"/>
        <w:jc w:val="both"/>
      </w:pPr>
      <w:r w:rsidRPr="003C03B9">
        <w:t xml:space="preserve">It is not possible to be precise about how well older people are accommodated within mainstream housing, in terms of whether their accommodation in suitable to their needs and whether adequate care or support is provided within the home when they need. </w:t>
      </w:r>
    </w:p>
    <w:p w14:paraId="7900CF54" w14:textId="435125BD" w:rsidR="003B3C47" w:rsidRDefault="003B3C47" w:rsidP="00252C91">
      <w:pPr>
        <w:pStyle w:val="Numberedtext"/>
        <w:jc w:val="both"/>
      </w:pPr>
      <w:r w:rsidRPr="003C03B9">
        <w:t xml:space="preserve">However, given that there is unlikely to be a large volume of additional specialist supply during </w:t>
      </w:r>
      <w:r w:rsidR="0096304E" w:rsidRPr="003C03B9">
        <w:t>the Neighbourhood Plan period</w:t>
      </w:r>
      <w:r w:rsidRPr="003C03B9">
        <w:t xml:space="preserve">, another key avenue to addressing </w:t>
      </w:r>
      <w:r w:rsidRPr="00891FBD">
        <w:t>those with relevant needs is to discuss the standards of accessibility and adaptability in new development to be met in the Local Plan with</w:t>
      </w:r>
      <w:r w:rsidR="00DF3414">
        <w:t xml:space="preserve"> County Durham Council.</w:t>
      </w:r>
      <w:r w:rsidRPr="00891FBD">
        <w:t xml:space="preserve"> </w:t>
      </w:r>
    </w:p>
    <w:p w14:paraId="2F1EB0EB" w14:textId="77777777" w:rsidR="003B3C47" w:rsidRDefault="003B3C47" w:rsidP="00252C91">
      <w:pPr>
        <w:pStyle w:val="Numberedtext"/>
        <w:jc w:val="both"/>
      </w:pPr>
      <w:r w:rsidRPr="00891FBD">
        <w:t>It is relatively</w:t>
      </w:r>
      <w:r w:rsidRPr="004A18B4">
        <w:t xml:space="preserve"> common for Local Plans to require that all or </w:t>
      </w:r>
      <w:proofErr w:type="gramStart"/>
      <w:r w:rsidRPr="004A18B4">
        <w:t>a majority of</w:t>
      </w:r>
      <w:proofErr w:type="gramEnd"/>
      <w:r w:rsidRPr="004A18B4">
        <w:t xml:space="preserve"> new housing meets Category M4(2) standards in response to the demographic shifts being observed nationwide. Government is considering mandating M4(2) on newly erected dwellings</w:t>
      </w:r>
      <w:r w:rsidRPr="004A18B4">
        <w:rPr>
          <w:rStyle w:val="FootnoteReference"/>
        </w:rPr>
        <w:footnoteReference w:id="16"/>
      </w:r>
      <w:r w:rsidRPr="004A18B4">
        <w:t xml:space="preserve">, although changes to Building Regulations have not yet been made. </w:t>
      </w:r>
    </w:p>
    <w:p w14:paraId="4775F453" w14:textId="4B8F441A" w:rsidR="003B3C47" w:rsidRDefault="003B3C47" w:rsidP="00252C91">
      <w:pPr>
        <w:pStyle w:val="Numberedtext"/>
        <w:jc w:val="both"/>
      </w:pPr>
      <w:r w:rsidRPr="004A18B4">
        <w:t xml:space="preserve">The </w:t>
      </w:r>
      <w:r w:rsidRPr="00DF3414">
        <w:t xml:space="preserve">current adopted Local Plan policy </w:t>
      </w:r>
      <w:r w:rsidR="00F50E36" w:rsidRPr="00DF3414">
        <w:t>15</w:t>
      </w:r>
      <w:r w:rsidRPr="00DF3414">
        <w:t xml:space="preserve"> provides explicit encouragement for development to accommodate specific groups such as older </w:t>
      </w:r>
      <w:proofErr w:type="gramStart"/>
      <w:r w:rsidRPr="00DF3414">
        <w:t>people</w:t>
      </w:r>
      <w:r w:rsidR="00F50E36" w:rsidRPr="00DF3414">
        <w:t>, and</w:t>
      </w:r>
      <w:proofErr w:type="gramEnd"/>
      <w:r w:rsidR="00F50E36" w:rsidRPr="00DF3414">
        <w:t xml:space="preserve"> suggests that 66% of new dwellings should be </w:t>
      </w:r>
      <w:r w:rsidR="00DF3414" w:rsidRPr="00DF3414">
        <w:t xml:space="preserve">built to </w:t>
      </w:r>
      <w:r w:rsidRPr="00DF3414">
        <w:t>meet national standards for accessibility and adaptability (Category M4(2))</w:t>
      </w:r>
      <w:r w:rsidR="00DF3414" w:rsidRPr="00DF3414">
        <w:t>.</w:t>
      </w:r>
      <w:r w:rsidR="00DF3414">
        <w:t xml:space="preserve"> </w:t>
      </w:r>
      <w:r w:rsidRPr="00DF3414">
        <w:t>The evidence gathered here may justify the</w:t>
      </w:r>
      <w:r w:rsidR="00DF3414">
        <w:t xml:space="preserve"> Consett Neighbourhood Plan Forum </w:t>
      </w:r>
      <w:r w:rsidRPr="004A18B4">
        <w:t xml:space="preserve">approaching the LPA to discuss setting requirements on accessibility and adaptability at </w:t>
      </w:r>
      <w:r w:rsidR="00DF3414">
        <w:t>county</w:t>
      </w:r>
      <w:r w:rsidRPr="004A18B4">
        <w:t xml:space="preserve"> level. It is unclear whether Neighbourhood Plans can set their own requirements for the application of the national standards of adaptability and accessibility for new housing and so discussions with the LPA are advised if this is a key priority.  </w:t>
      </w:r>
    </w:p>
    <w:p w14:paraId="3E208111" w14:textId="3901926B" w:rsidR="0081160E" w:rsidRDefault="003B3C47" w:rsidP="0081160E">
      <w:pPr>
        <w:pStyle w:val="Numberedtext"/>
        <w:jc w:val="both"/>
      </w:pPr>
      <w:r w:rsidRPr="004A18B4">
        <w:t xml:space="preserve">The proportion of new housing that might accommodate those using wheelchairs </w:t>
      </w:r>
      <w:r>
        <w:t xml:space="preserve">is harder to define at small scales. Typically, at Local Authority scale, this </w:t>
      </w:r>
      <w:r w:rsidRPr="004A18B4">
        <w:t xml:space="preserve">might be set with reference to the proportion of </w:t>
      </w:r>
      <w:r>
        <w:t>A</w:t>
      </w:r>
      <w:r w:rsidRPr="004A18B4">
        <w:t xml:space="preserve">ffordable </w:t>
      </w:r>
      <w:r>
        <w:t>H</w:t>
      </w:r>
      <w:r w:rsidRPr="004A18B4">
        <w:t xml:space="preserve">ousing applicants in the </w:t>
      </w:r>
      <w:r>
        <w:t>Local Authority area</w:t>
      </w:r>
      <w:r w:rsidRPr="004A18B4">
        <w:t xml:space="preserve"> </w:t>
      </w:r>
      <w:r w:rsidRPr="00011F4F">
        <w:t>falling into this category</w:t>
      </w:r>
      <w:r>
        <w:t xml:space="preserve"> or to wider data from surveys and other sources where available</w:t>
      </w:r>
      <w:r w:rsidRPr="00011F4F">
        <w:t>.</w:t>
      </w:r>
    </w:p>
    <w:p w14:paraId="15496A09" w14:textId="77777777" w:rsidR="0081160E" w:rsidRDefault="0081160E" w:rsidP="0081160E">
      <w:pPr>
        <w:pStyle w:val="Heading2"/>
        <w:numPr>
          <w:ilvl w:val="0"/>
          <w:numId w:val="0"/>
        </w:numPr>
        <w:ind w:left="826"/>
      </w:pPr>
    </w:p>
    <w:p w14:paraId="55B497D9" w14:textId="77777777" w:rsidR="0081160E" w:rsidRPr="0081160E" w:rsidRDefault="0081160E" w:rsidP="0081160E">
      <w:pPr>
        <w:pStyle w:val="BodyText"/>
        <w:rPr>
          <w:lang w:val="en-US"/>
        </w:rPr>
      </w:pPr>
    </w:p>
    <w:p w14:paraId="070879C2" w14:textId="77777777" w:rsidR="003B3C47" w:rsidRPr="003C03B9" w:rsidRDefault="003B3C47" w:rsidP="00252C91">
      <w:pPr>
        <w:pStyle w:val="Heading2"/>
        <w:jc w:val="both"/>
        <w:rPr>
          <w:color w:val="auto"/>
        </w:rPr>
      </w:pPr>
      <w:r w:rsidRPr="003C03B9">
        <w:rPr>
          <w:color w:val="auto"/>
        </w:rPr>
        <w:lastRenderedPageBreak/>
        <w:t xml:space="preserve">Conclusions- Specialist Housing for </w:t>
      </w:r>
      <w:bookmarkEnd w:id="172"/>
      <w:r w:rsidRPr="003C03B9">
        <w:rPr>
          <w:color w:val="auto"/>
        </w:rPr>
        <w:t>Older People</w:t>
      </w:r>
      <w:bookmarkEnd w:id="173"/>
      <w:bookmarkEnd w:id="174"/>
    </w:p>
    <w:p w14:paraId="464D33A4" w14:textId="4921CCF8" w:rsidR="00C85D41" w:rsidRPr="00AF7BF4" w:rsidRDefault="00AF7BF4" w:rsidP="00AF7BF4">
      <w:pPr>
        <w:tabs>
          <w:tab w:val="clear" w:pos="284"/>
        </w:tabs>
        <w:spacing w:after="120"/>
        <w:rPr>
          <w:rFonts w:ascii="Arial" w:eastAsia="Arial" w:hAnsi="Arial" w:cs="Times New Roman"/>
          <w:b/>
          <w:bCs/>
        </w:rPr>
      </w:pPr>
      <w:r w:rsidRPr="00A42FC0">
        <w:rPr>
          <w:rFonts w:ascii="Arial" w:eastAsia="Arial" w:hAnsi="Arial" w:cs="Times New Roman"/>
          <w:b/>
          <w:bCs/>
        </w:rPr>
        <w:t>Characteristics of the current older population</w:t>
      </w:r>
    </w:p>
    <w:p w14:paraId="086A1726" w14:textId="5D6D5470" w:rsidR="00D13045" w:rsidRPr="003D2B7B" w:rsidRDefault="00D13045" w:rsidP="008B0A90">
      <w:pPr>
        <w:pStyle w:val="Numberedtext"/>
        <w:jc w:val="both"/>
      </w:pPr>
      <w:r w:rsidRPr="003D2B7B">
        <w:t xml:space="preserve">There are currently estimated to be around 3,543 individuals aged 75 or over in Consett, a number that has grown from 3,067 in 2011 and is projected to rise to 5,560 by the end of the Neighbourhood Plan period (2041). </w:t>
      </w:r>
    </w:p>
    <w:p w14:paraId="6906CC7E" w14:textId="77777777" w:rsidR="00D13045" w:rsidRPr="003D2B7B" w:rsidRDefault="00D13045" w:rsidP="008B0A90">
      <w:pPr>
        <w:pStyle w:val="Numberedtext"/>
        <w:jc w:val="both"/>
      </w:pPr>
      <w:r w:rsidRPr="003D2B7B">
        <w:t xml:space="preserve">A clear majority (73%) of County Durham’s households aged between 55 – 75 in 2011 (and therefore likely to reach the 75+ bracket by 2040) are owner occupiers and the remainder predominantly rent from a social landlord. This is important because those currently owning will require specialist accommodation for market purchase, being largely ineligible for subsidised housing, while those in private or social rent may need subsidised rented housing because they are unlikely to have the funds to buy. </w:t>
      </w:r>
    </w:p>
    <w:p w14:paraId="43BBA15D" w14:textId="4C479299" w:rsidR="00497F4A" w:rsidRPr="00AF7BF4" w:rsidRDefault="00C85D41" w:rsidP="008B0A90">
      <w:pPr>
        <w:pStyle w:val="Numberedtext"/>
        <w:numPr>
          <w:ilvl w:val="0"/>
          <w:numId w:val="0"/>
        </w:numPr>
        <w:jc w:val="both"/>
        <w:rPr>
          <w:b/>
          <w:bCs/>
        </w:rPr>
      </w:pPr>
      <w:r w:rsidRPr="00633EC1">
        <w:rPr>
          <w:b/>
          <w:bCs/>
        </w:rPr>
        <w:t>Projected demographic change and need for specialist housing</w:t>
      </w:r>
    </w:p>
    <w:p w14:paraId="76E27669" w14:textId="77777777" w:rsidR="008B0A90" w:rsidRPr="003737A8" w:rsidRDefault="008B0A90" w:rsidP="008B0A90">
      <w:pPr>
        <w:pStyle w:val="Numberedtext"/>
        <w:jc w:val="both"/>
      </w:pPr>
      <w:r w:rsidRPr="003737A8">
        <w:t xml:space="preserve">The 75+ population of the NA is projected to increase from 9% to 14% of the overall population between 2024 and 2040. The growth in the older population should be converted into households because some older people will be cohabiting in old age. The projected growth in the older population points to 1,505 new households made up of persons aged 75+ over the Neighbourhood Plan period. </w:t>
      </w:r>
    </w:p>
    <w:p w14:paraId="68E5A12A" w14:textId="77777777" w:rsidR="008B0A90" w:rsidRPr="003737A8" w:rsidRDefault="008B0A90" w:rsidP="008B0A90">
      <w:pPr>
        <w:pStyle w:val="Numberedtext"/>
        <w:jc w:val="both"/>
      </w:pPr>
      <w:r w:rsidRPr="003737A8">
        <w:t>The potential need for specialist housing with some form of additional care for older people can be estimated by bringing together data on population projections, rates of disability, and what tenure of housing the current 55-75 cohort occupy in the NA. This can be sense-checked using a toolkit based on national research.</w:t>
      </w:r>
    </w:p>
    <w:p w14:paraId="4C64AE62" w14:textId="503D0EE6" w:rsidR="008B0A90" w:rsidRPr="00633EC1" w:rsidRDefault="008B0A90" w:rsidP="008B0A90">
      <w:pPr>
        <w:pStyle w:val="Numberedtext"/>
        <w:jc w:val="both"/>
      </w:pPr>
      <w:r w:rsidRPr="00633EC1">
        <w:t xml:space="preserve">The two methods for estimating the future need in </w:t>
      </w:r>
      <w:r w:rsidR="00A970C0">
        <w:t xml:space="preserve">Consett </w:t>
      </w:r>
      <w:r w:rsidRPr="00633EC1">
        <w:t>produce</w:t>
      </w:r>
      <w:r>
        <w:t>s</w:t>
      </w:r>
      <w:r w:rsidRPr="00633EC1">
        <w:t xml:space="preserve"> a range of </w:t>
      </w:r>
      <w:r>
        <w:t>506</w:t>
      </w:r>
      <w:r w:rsidRPr="00633EC1">
        <w:t xml:space="preserve"> to </w:t>
      </w:r>
      <w:r>
        <w:t xml:space="preserve">918 </w:t>
      </w:r>
      <w:r w:rsidRPr="00633EC1">
        <w:t xml:space="preserve">specialist accommodation units that might be required during the plan period. These estimates are based on the projected growth of the older population, thereby assuming that today’s older households are already well accommodated. </w:t>
      </w:r>
    </w:p>
    <w:p w14:paraId="4D82D58B" w14:textId="77777777" w:rsidR="008B0A90" w:rsidRPr="00633EC1" w:rsidRDefault="008B0A90" w:rsidP="008B0A90">
      <w:pPr>
        <w:pStyle w:val="Numberedtext"/>
        <w:jc w:val="both"/>
      </w:pPr>
      <w:r w:rsidRPr="00633EC1">
        <w:t xml:space="preserve">Broadly, between </w:t>
      </w:r>
      <w:r>
        <w:t>50-60</w:t>
      </w:r>
      <w:r w:rsidRPr="00633EC1">
        <w:t xml:space="preserve">% of the need </w:t>
      </w:r>
      <w:r>
        <w:t>is likely to</w:t>
      </w:r>
      <w:r w:rsidRPr="00633EC1">
        <w:t xml:space="preserve"> be </w:t>
      </w:r>
      <w:r>
        <w:t>for</w:t>
      </w:r>
      <w:r w:rsidRPr="00633EC1">
        <w:t xml:space="preserve"> market purchase. Moreover, between 5</w:t>
      </w:r>
      <w:r>
        <w:t>0</w:t>
      </w:r>
      <w:r w:rsidRPr="00633EC1">
        <w:t>-</w:t>
      </w:r>
      <w:r>
        <w:t>70</w:t>
      </w:r>
      <w:r w:rsidRPr="00633EC1">
        <w:t xml:space="preserve">% of the need can be accommodated through either sheltered accommodation or adaptations to the existing housing stock, rather than new extra care options. The potential need for care and nursing home beds in </w:t>
      </w:r>
      <w:r>
        <w:t>Consett</w:t>
      </w:r>
      <w:r w:rsidRPr="00633EC1">
        <w:t xml:space="preserve"> by 20</w:t>
      </w:r>
      <w:r>
        <w:t>40</w:t>
      </w:r>
      <w:r w:rsidRPr="00633EC1">
        <w:t xml:space="preserve"> can be estimated at roughly </w:t>
      </w:r>
      <w:r>
        <w:t>212</w:t>
      </w:r>
      <w:r w:rsidRPr="00633EC1">
        <w:t xml:space="preserve">. </w:t>
      </w:r>
    </w:p>
    <w:p w14:paraId="2F471D93" w14:textId="3BE57AD3" w:rsidR="008B0A90" w:rsidRPr="00764F1A" w:rsidRDefault="008B0A90" w:rsidP="008B0A90">
      <w:pPr>
        <w:pStyle w:val="Numberedtext"/>
        <w:jc w:val="both"/>
      </w:pPr>
      <w:r w:rsidRPr="00633EC1">
        <w:t xml:space="preserve">The main unmet need in </w:t>
      </w:r>
      <w:r w:rsidR="00A970C0">
        <w:t>Consett</w:t>
      </w:r>
      <w:r w:rsidRPr="00633EC1">
        <w:t xml:space="preserve"> is for market sheltered accommodation</w:t>
      </w:r>
      <w:r>
        <w:t xml:space="preserve"> (or accommodation which would deliver similar attributes) and in some cases this need </w:t>
      </w:r>
      <w:r w:rsidRPr="00633EC1">
        <w:t xml:space="preserve">may be satisfied by new housing </w:t>
      </w:r>
      <w:r>
        <w:t xml:space="preserve">that </w:t>
      </w:r>
      <w:r w:rsidRPr="00633EC1">
        <w:t xml:space="preserve">is accessible and adaptable for people with lower support needs. It is unknown whether </w:t>
      </w:r>
      <w:r>
        <w:t>Consett</w:t>
      </w:r>
      <w:r w:rsidRPr="00633EC1">
        <w:t xml:space="preserve"> is expecting any delivery of specialist accommodation over the plan period. However,</w:t>
      </w:r>
      <w:r>
        <w:t xml:space="preserve"> if the number of dwellings allocated to the NA through the Local Plan are developed in full, and</w:t>
      </w:r>
      <w:r w:rsidRPr="00633EC1">
        <w:t xml:space="preserve"> </w:t>
      </w:r>
      <w:r>
        <w:t xml:space="preserve">the provision of specialist accommodation is included it would meaningfully contribute to the need identified in this HNA. </w:t>
      </w:r>
    </w:p>
    <w:p w14:paraId="4CB43D17" w14:textId="00ECDDD9" w:rsidR="003B3C47" w:rsidRPr="00AD4A24" w:rsidRDefault="003B3C47" w:rsidP="00252C91">
      <w:pPr>
        <w:pStyle w:val="Numberedtext"/>
        <w:jc w:val="both"/>
        <w:rPr>
          <w:color w:val="000000" w:themeColor="text1"/>
        </w:rPr>
      </w:pPr>
      <w:r w:rsidRPr="00AD4A24">
        <w:rPr>
          <w:color w:val="000000" w:themeColor="text1"/>
        </w:rPr>
        <w:br w:type="page"/>
      </w:r>
    </w:p>
    <w:p w14:paraId="473DA25E" w14:textId="77777777" w:rsidR="003B3C47" w:rsidRPr="009E1BB6" w:rsidRDefault="003B3C47" w:rsidP="00252C91">
      <w:pPr>
        <w:pStyle w:val="Heading1"/>
        <w:jc w:val="both"/>
        <w:rPr>
          <w:color w:val="auto"/>
        </w:rPr>
      </w:pPr>
      <w:bookmarkStart w:id="175" w:name="_Toc102731916"/>
      <w:bookmarkStart w:id="176" w:name="_Toc170398395"/>
      <w:bookmarkStart w:id="177" w:name="_Toc185339915"/>
      <w:r w:rsidRPr="009E1BB6">
        <w:rPr>
          <w:color w:val="auto"/>
        </w:rPr>
        <w:lastRenderedPageBreak/>
        <w:t>Next Steps</w:t>
      </w:r>
      <w:bookmarkEnd w:id="175"/>
      <w:bookmarkEnd w:id="176"/>
      <w:bookmarkEnd w:id="177"/>
    </w:p>
    <w:p w14:paraId="228AB9CE" w14:textId="77777777" w:rsidR="003B3C47" w:rsidRPr="009E1BB6" w:rsidRDefault="003B3C47" w:rsidP="00252C91">
      <w:pPr>
        <w:pStyle w:val="Heading2"/>
        <w:jc w:val="both"/>
        <w:rPr>
          <w:color w:val="auto"/>
        </w:rPr>
      </w:pPr>
      <w:bookmarkStart w:id="178" w:name="_Toc425332024"/>
      <w:bookmarkStart w:id="179" w:name="_Toc461696231"/>
      <w:bookmarkStart w:id="180" w:name="_Toc31722700"/>
      <w:bookmarkStart w:id="181" w:name="_Toc102731917"/>
      <w:r w:rsidRPr="009E1BB6">
        <w:rPr>
          <w:color w:val="auto"/>
        </w:rPr>
        <w:t>Recommendations for next steps</w:t>
      </w:r>
      <w:bookmarkEnd w:id="178"/>
      <w:bookmarkEnd w:id="179"/>
      <w:bookmarkEnd w:id="180"/>
      <w:bookmarkEnd w:id="181"/>
    </w:p>
    <w:p w14:paraId="3F06DC84" w14:textId="4E70F3DA" w:rsidR="003B3C47" w:rsidRPr="00A970C0" w:rsidRDefault="003B3C47" w:rsidP="00252C91">
      <w:pPr>
        <w:pStyle w:val="Numberedtext"/>
        <w:jc w:val="both"/>
      </w:pPr>
      <w:r w:rsidRPr="009E1BB6">
        <w:t xml:space="preserve">This Neighbourhood Plan housing needs assessment aims to provide </w:t>
      </w:r>
      <w:r w:rsidR="00A970C0">
        <w:t xml:space="preserve">Consett Neighbourhood Plan Forum </w:t>
      </w:r>
      <w:r w:rsidRPr="009E1BB6">
        <w:t>with evidence on a range of housing trends and issues from a range of relevant sources. We recommend t</w:t>
      </w:r>
      <w:r w:rsidRPr="00A970C0">
        <w:t xml:space="preserve">hat the neighbourhood planners should, as a next step, discuss the contents and conclusions with </w:t>
      </w:r>
      <w:r w:rsidR="00DC6F3A" w:rsidRPr="00A970C0">
        <w:t>Durham County Council</w:t>
      </w:r>
      <w:r w:rsidR="005614F9" w:rsidRPr="00A970C0">
        <w:t xml:space="preserve"> </w:t>
      </w:r>
      <w:r w:rsidRPr="00A970C0">
        <w:t>with a view to agreeing and formulating draft housing policies, bearing the following in mind:</w:t>
      </w:r>
    </w:p>
    <w:p w14:paraId="05469524" w14:textId="77777777" w:rsidR="003B3C47" w:rsidRPr="00A970C0" w:rsidRDefault="003B3C47" w:rsidP="00252C91">
      <w:pPr>
        <w:pStyle w:val="ListBullet"/>
        <w:jc w:val="both"/>
        <w:rPr>
          <w:lang w:val="en-US"/>
        </w:rPr>
      </w:pPr>
      <w:r w:rsidRPr="00A970C0">
        <w:rPr>
          <w:lang w:val="en-US"/>
        </w:rPr>
        <w:t xml:space="preserve">All Neighbourhood Planning Basic Conditions, but in particular Condition E, which is the need for the Neighbourhood Plan to be in general conformity with the strategic policies of the adopted development </w:t>
      </w:r>
      <w:proofErr w:type="gramStart"/>
      <w:r w:rsidRPr="00A970C0">
        <w:rPr>
          <w:lang w:val="en-US"/>
        </w:rPr>
        <w:t>plan;</w:t>
      </w:r>
      <w:proofErr w:type="gramEnd"/>
    </w:p>
    <w:p w14:paraId="7FD429BE" w14:textId="6898C1A1" w:rsidR="003B3C47" w:rsidRPr="00A970C0" w:rsidRDefault="003B3C47" w:rsidP="00252C91">
      <w:pPr>
        <w:pStyle w:val="ListBullet"/>
        <w:jc w:val="both"/>
      </w:pPr>
      <w:r w:rsidRPr="00A970C0">
        <w:t xml:space="preserve">The views of </w:t>
      </w:r>
      <w:r w:rsidR="005614F9" w:rsidRPr="00A970C0">
        <w:t xml:space="preserve">County Durham </w:t>
      </w:r>
      <w:proofErr w:type="gramStart"/>
      <w:r w:rsidR="005614F9" w:rsidRPr="00A970C0">
        <w:t>Council</w:t>
      </w:r>
      <w:r w:rsidRPr="00A970C0">
        <w:t>;</w:t>
      </w:r>
      <w:proofErr w:type="gramEnd"/>
    </w:p>
    <w:p w14:paraId="0952498D" w14:textId="77777777" w:rsidR="003B3C47" w:rsidRPr="00A970C0" w:rsidRDefault="003B3C47" w:rsidP="00252C91">
      <w:pPr>
        <w:pStyle w:val="ListBullet"/>
        <w:jc w:val="both"/>
      </w:pPr>
      <w:r w:rsidRPr="00A970C0">
        <w:t xml:space="preserve">The views of local </w:t>
      </w:r>
      <w:proofErr w:type="gramStart"/>
      <w:r w:rsidRPr="00A970C0">
        <w:t>residents;</w:t>
      </w:r>
      <w:proofErr w:type="gramEnd"/>
    </w:p>
    <w:p w14:paraId="34DC4C83" w14:textId="77777777" w:rsidR="003B3C47" w:rsidRPr="00A970C0" w:rsidRDefault="003B3C47" w:rsidP="00252C91">
      <w:pPr>
        <w:pStyle w:val="ListBullet"/>
        <w:jc w:val="both"/>
      </w:pPr>
      <w:r w:rsidRPr="00A970C0">
        <w:t>The views of other relevant local stakeholders, including housing developers and estate agents; and</w:t>
      </w:r>
    </w:p>
    <w:p w14:paraId="02701077" w14:textId="64575D4A" w:rsidR="003B3C47" w:rsidRPr="00A970C0" w:rsidRDefault="003B3C47" w:rsidP="00252C91">
      <w:pPr>
        <w:pStyle w:val="ListBullet"/>
        <w:jc w:val="both"/>
      </w:pPr>
      <w:r w:rsidRPr="00A970C0">
        <w:t xml:space="preserve">The numerous supply-side considerations, including local environmental constraints, the location and characteristics of suitable land, and any capacity work carried out by </w:t>
      </w:r>
      <w:r w:rsidR="005614F9" w:rsidRPr="00A970C0">
        <w:t>County Durham Council</w:t>
      </w:r>
      <w:r w:rsidRPr="00A970C0">
        <w:t>.</w:t>
      </w:r>
    </w:p>
    <w:p w14:paraId="203454AA" w14:textId="77777777" w:rsidR="003B3C47" w:rsidRPr="00A970C0" w:rsidRDefault="003B3C47" w:rsidP="00252C91">
      <w:pPr>
        <w:pStyle w:val="Numberedtext"/>
        <w:jc w:val="both"/>
      </w:pPr>
      <w:r w:rsidRPr="00A970C0">
        <w:t xml:space="preserve">This assessment has been provided in good faith by AECOM consultants </w:t>
      </w:r>
      <w:proofErr w:type="gramStart"/>
      <w:r w:rsidRPr="00A970C0">
        <w:t>on the basis of</w:t>
      </w:r>
      <w:proofErr w:type="gramEnd"/>
      <w:r w:rsidRPr="00A970C0">
        <w:t xml:space="preserve"> housing data, national guidance and other relevant and available information current at the time of writing.</w:t>
      </w:r>
    </w:p>
    <w:p w14:paraId="12A0B06A" w14:textId="03405C56" w:rsidR="003B3C47" w:rsidRPr="009E1BB6" w:rsidRDefault="003B3C47" w:rsidP="00252C91">
      <w:pPr>
        <w:pStyle w:val="Numberedtext"/>
        <w:jc w:val="both"/>
      </w:pPr>
      <w:r w:rsidRPr="00A970C0">
        <w:t xml:space="preserve">Bearing this in mind, it is recommended that the </w:t>
      </w:r>
      <w:r w:rsidR="004479B4" w:rsidRPr="00A970C0">
        <w:t>Consett Neighbourhood Plan Forum</w:t>
      </w:r>
      <w:r w:rsidRPr="00A970C0">
        <w:t xml:space="preserve"> should monitor carefully strategies and documents with an impact on housing policy produced by the Government, </w:t>
      </w:r>
      <w:r w:rsidR="00DC6F3A" w:rsidRPr="00A970C0">
        <w:t>Durham County Council</w:t>
      </w:r>
      <w:r w:rsidR="005614F9" w:rsidRPr="00A970C0">
        <w:t xml:space="preserve"> </w:t>
      </w:r>
      <w:r w:rsidRPr="00A970C0">
        <w:t>or any other relevant party and review the Neighbourhood Plan accordingly to ensure</w:t>
      </w:r>
      <w:r w:rsidRPr="009E1BB6">
        <w:t xml:space="preserve"> that general conformity is maintained. </w:t>
      </w:r>
    </w:p>
    <w:p w14:paraId="5FE8651E" w14:textId="2CBF9965" w:rsidR="000B15B3" w:rsidRPr="009E1BB6" w:rsidRDefault="003B3C47" w:rsidP="00252C91">
      <w:pPr>
        <w:pStyle w:val="Numberedtext"/>
        <w:jc w:val="both"/>
      </w:pPr>
      <w:r w:rsidRPr="009E1BB6">
        <w:t>At the same time, monitoring on-going demographic or other trends over the Neighbourhood Plan period will help ensure the continued relevance and credibility of its policies.</w:t>
      </w:r>
      <w:r w:rsidR="000B15B3" w:rsidRPr="009E1BB6">
        <w:br w:type="page"/>
      </w:r>
    </w:p>
    <w:p w14:paraId="1F8CFA2D" w14:textId="14619EB1" w:rsidR="00201C53" w:rsidRPr="009E1BB6" w:rsidRDefault="00201C53" w:rsidP="00252C91">
      <w:pPr>
        <w:pStyle w:val="Appendix"/>
        <w:numPr>
          <w:ilvl w:val="0"/>
          <w:numId w:val="22"/>
        </w:numPr>
        <w:jc w:val="both"/>
        <w:rPr>
          <w:color w:val="auto"/>
        </w:rPr>
      </w:pPr>
      <w:bookmarkStart w:id="182" w:name="_Toc185339916"/>
      <w:r w:rsidRPr="009E1BB6">
        <w:rPr>
          <w:color w:val="auto"/>
        </w:rPr>
        <w:lastRenderedPageBreak/>
        <w:t>: Assessment geography</w:t>
      </w:r>
      <w:bookmarkEnd w:id="182"/>
    </w:p>
    <w:p w14:paraId="7E664FF5" w14:textId="1501E98A" w:rsidR="00201C53" w:rsidRPr="009E1BB6" w:rsidRDefault="00201C53" w:rsidP="00252C91">
      <w:pPr>
        <w:pStyle w:val="AppendixText"/>
        <w:jc w:val="both"/>
        <w:rPr>
          <w:bCs/>
        </w:rPr>
      </w:pPr>
      <w:r w:rsidRPr="009E1BB6">
        <w:t>For Census purposes, the whole of England is divided into statistical units of similar population size called Output Areas (OAs) and their larger equivalents. OAs are the smallest units. They make up Lower Layer Super Output Areas (LSOAs), which in turn make up Middle Layer Super Output Areas (MSOAs).  The NA equates to the following combination of OAs:</w:t>
      </w: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9"/>
        <w:gridCol w:w="4279"/>
      </w:tblGrid>
      <w:tr w:rsidR="0015325A" w14:paraId="20FE9F0D" w14:textId="77777777" w:rsidTr="00F1047A">
        <w:trPr>
          <w:cnfStyle w:val="100000000000" w:firstRow="1" w:lastRow="0" w:firstColumn="0" w:lastColumn="0" w:oddVBand="0" w:evenVBand="0" w:oddHBand="0" w:evenHBand="0" w:firstRowFirstColumn="0" w:firstRowLastColumn="0" w:lastRowFirstColumn="0" w:lastRowLastColumn="0"/>
        </w:trPr>
        <w:tc>
          <w:tcPr>
            <w:tcW w:w="4279" w:type="dxa"/>
          </w:tcPr>
          <w:p w14:paraId="2999855C" w14:textId="5233C7F2" w:rsidR="0015325A" w:rsidRPr="00F1047A" w:rsidRDefault="0015325A" w:rsidP="008E1A19">
            <w:pPr>
              <w:pStyle w:val="ListBullet"/>
              <w:numPr>
                <w:ilvl w:val="0"/>
                <w:numId w:val="0"/>
              </w:numPr>
              <w:jc w:val="both"/>
              <w:rPr>
                <w:b/>
                <w:bCs/>
              </w:rPr>
            </w:pPr>
            <w:bookmarkStart w:id="183" w:name="_Hlk118198594"/>
            <w:r w:rsidRPr="00F1047A">
              <w:rPr>
                <w:b/>
                <w:bCs/>
              </w:rPr>
              <w:t>MSOA</w:t>
            </w:r>
          </w:p>
        </w:tc>
        <w:tc>
          <w:tcPr>
            <w:tcW w:w="4279" w:type="dxa"/>
          </w:tcPr>
          <w:p w14:paraId="019DE248" w14:textId="54EFDAB5" w:rsidR="0015325A" w:rsidRPr="00F1047A" w:rsidRDefault="0015325A" w:rsidP="008E1A19">
            <w:pPr>
              <w:pStyle w:val="ListBullet"/>
              <w:numPr>
                <w:ilvl w:val="0"/>
                <w:numId w:val="0"/>
              </w:numPr>
              <w:jc w:val="both"/>
              <w:rPr>
                <w:b/>
                <w:bCs/>
              </w:rPr>
            </w:pPr>
            <w:r w:rsidRPr="00F1047A">
              <w:rPr>
                <w:b/>
                <w:bCs/>
              </w:rPr>
              <w:t>LSOA</w:t>
            </w:r>
          </w:p>
        </w:tc>
      </w:tr>
      <w:tr w:rsidR="0015325A" w14:paraId="3C5F01F3" w14:textId="77777777" w:rsidTr="00F1047A">
        <w:tc>
          <w:tcPr>
            <w:tcW w:w="4279" w:type="dxa"/>
          </w:tcPr>
          <w:p w14:paraId="632886B8" w14:textId="33A8973F" w:rsidR="0015325A" w:rsidRDefault="0015325A" w:rsidP="00F1047A">
            <w:pPr>
              <w:pStyle w:val="ListBullet"/>
              <w:numPr>
                <w:ilvl w:val="0"/>
                <w:numId w:val="48"/>
              </w:numPr>
              <w:jc w:val="both"/>
            </w:pPr>
            <w:r>
              <w:t>E02004298</w:t>
            </w:r>
          </w:p>
        </w:tc>
        <w:tc>
          <w:tcPr>
            <w:tcW w:w="4279" w:type="dxa"/>
          </w:tcPr>
          <w:p w14:paraId="24C533C0" w14:textId="4FFEE7FF" w:rsidR="0015325A" w:rsidRDefault="00F1047A" w:rsidP="00F1047A">
            <w:pPr>
              <w:pStyle w:val="ListBullet"/>
              <w:numPr>
                <w:ilvl w:val="0"/>
                <w:numId w:val="48"/>
              </w:numPr>
              <w:jc w:val="both"/>
            </w:pPr>
            <w:r w:rsidRPr="00F1047A">
              <w:t>E01020630</w:t>
            </w:r>
          </w:p>
        </w:tc>
      </w:tr>
      <w:tr w:rsidR="0015325A" w14:paraId="6FDEC165" w14:textId="77777777" w:rsidTr="00F1047A">
        <w:tc>
          <w:tcPr>
            <w:tcW w:w="4279" w:type="dxa"/>
          </w:tcPr>
          <w:p w14:paraId="23DA9FC5" w14:textId="60C66DCB" w:rsidR="0015325A" w:rsidRDefault="0015325A" w:rsidP="00F1047A">
            <w:pPr>
              <w:pStyle w:val="ListBullet"/>
              <w:numPr>
                <w:ilvl w:val="0"/>
                <w:numId w:val="48"/>
              </w:numPr>
              <w:jc w:val="both"/>
            </w:pPr>
            <w:r>
              <w:t>E0200430</w:t>
            </w:r>
            <w:r w:rsidR="00F1047A">
              <w:t>3</w:t>
            </w:r>
          </w:p>
        </w:tc>
        <w:tc>
          <w:tcPr>
            <w:tcW w:w="4279" w:type="dxa"/>
          </w:tcPr>
          <w:p w14:paraId="15300FE7" w14:textId="59CD51F0" w:rsidR="0015325A" w:rsidRDefault="00F1047A" w:rsidP="00F1047A">
            <w:pPr>
              <w:pStyle w:val="ListBullet"/>
              <w:numPr>
                <w:ilvl w:val="0"/>
                <w:numId w:val="48"/>
              </w:numPr>
              <w:jc w:val="both"/>
            </w:pPr>
            <w:r w:rsidRPr="00F1047A">
              <w:t>E0102063</w:t>
            </w:r>
            <w:r>
              <w:t>1</w:t>
            </w:r>
          </w:p>
        </w:tc>
      </w:tr>
      <w:tr w:rsidR="0015325A" w14:paraId="264E3135" w14:textId="77777777" w:rsidTr="00F1047A">
        <w:tc>
          <w:tcPr>
            <w:tcW w:w="4279" w:type="dxa"/>
          </w:tcPr>
          <w:p w14:paraId="4FAE2D89" w14:textId="4B55E837" w:rsidR="0015325A" w:rsidRDefault="00F1047A" w:rsidP="00F1047A">
            <w:pPr>
              <w:pStyle w:val="ListBullet"/>
              <w:numPr>
                <w:ilvl w:val="0"/>
                <w:numId w:val="48"/>
              </w:numPr>
              <w:jc w:val="both"/>
            </w:pPr>
            <w:r>
              <w:t>E02004304</w:t>
            </w:r>
          </w:p>
        </w:tc>
        <w:tc>
          <w:tcPr>
            <w:tcW w:w="4279" w:type="dxa"/>
          </w:tcPr>
          <w:p w14:paraId="6815C5B2" w14:textId="5AE61548" w:rsidR="0015325A" w:rsidRDefault="00F1047A" w:rsidP="00F1047A">
            <w:pPr>
              <w:pStyle w:val="ListBullet"/>
              <w:numPr>
                <w:ilvl w:val="0"/>
                <w:numId w:val="48"/>
              </w:numPr>
              <w:jc w:val="both"/>
            </w:pPr>
            <w:r w:rsidRPr="00F1047A">
              <w:t>E010206</w:t>
            </w:r>
            <w:r>
              <w:t>45</w:t>
            </w:r>
          </w:p>
        </w:tc>
      </w:tr>
      <w:tr w:rsidR="0015325A" w14:paraId="6EA2EEAB" w14:textId="77777777" w:rsidTr="00F1047A">
        <w:tc>
          <w:tcPr>
            <w:tcW w:w="4279" w:type="dxa"/>
          </w:tcPr>
          <w:p w14:paraId="20C2752E" w14:textId="77777777" w:rsidR="0015325A" w:rsidRDefault="0015325A" w:rsidP="00F1047A">
            <w:pPr>
              <w:pStyle w:val="ListBullet"/>
              <w:numPr>
                <w:ilvl w:val="0"/>
                <w:numId w:val="0"/>
              </w:numPr>
              <w:ind w:left="720"/>
              <w:jc w:val="both"/>
            </w:pPr>
          </w:p>
        </w:tc>
        <w:tc>
          <w:tcPr>
            <w:tcW w:w="4279" w:type="dxa"/>
          </w:tcPr>
          <w:p w14:paraId="5F161EA8" w14:textId="35FAAD5C" w:rsidR="0015325A" w:rsidRDefault="00F1047A" w:rsidP="00F1047A">
            <w:pPr>
              <w:pStyle w:val="ListBullet"/>
              <w:numPr>
                <w:ilvl w:val="0"/>
                <w:numId w:val="48"/>
              </w:numPr>
              <w:jc w:val="both"/>
            </w:pPr>
            <w:r w:rsidRPr="00F1047A">
              <w:t>E01034489</w:t>
            </w:r>
          </w:p>
        </w:tc>
      </w:tr>
      <w:tr w:rsidR="0015325A" w14:paraId="476458A3" w14:textId="77777777" w:rsidTr="00F1047A">
        <w:tc>
          <w:tcPr>
            <w:tcW w:w="4279" w:type="dxa"/>
          </w:tcPr>
          <w:p w14:paraId="7BAAF594" w14:textId="77777777" w:rsidR="0015325A" w:rsidRDefault="0015325A" w:rsidP="00F1047A">
            <w:pPr>
              <w:pStyle w:val="ListBullet"/>
              <w:numPr>
                <w:ilvl w:val="0"/>
                <w:numId w:val="0"/>
              </w:numPr>
              <w:ind w:left="720"/>
              <w:jc w:val="both"/>
            </w:pPr>
          </w:p>
        </w:tc>
        <w:tc>
          <w:tcPr>
            <w:tcW w:w="4279" w:type="dxa"/>
          </w:tcPr>
          <w:p w14:paraId="689C187D" w14:textId="55A4B640" w:rsidR="0015325A" w:rsidRDefault="00F1047A" w:rsidP="00F1047A">
            <w:pPr>
              <w:pStyle w:val="ListBullet"/>
              <w:numPr>
                <w:ilvl w:val="0"/>
                <w:numId w:val="48"/>
              </w:numPr>
              <w:jc w:val="both"/>
            </w:pPr>
            <w:r w:rsidRPr="00F1047A">
              <w:t>E010344</w:t>
            </w:r>
            <w:r>
              <w:t>90</w:t>
            </w:r>
          </w:p>
        </w:tc>
      </w:tr>
      <w:tr w:rsidR="0015325A" w14:paraId="388C5CBF" w14:textId="77777777" w:rsidTr="00F1047A">
        <w:tc>
          <w:tcPr>
            <w:tcW w:w="4279" w:type="dxa"/>
          </w:tcPr>
          <w:p w14:paraId="6FA94E43" w14:textId="77777777" w:rsidR="0015325A" w:rsidRDefault="0015325A" w:rsidP="00F1047A">
            <w:pPr>
              <w:pStyle w:val="ListBullet"/>
              <w:numPr>
                <w:ilvl w:val="0"/>
                <w:numId w:val="0"/>
              </w:numPr>
              <w:ind w:left="720"/>
              <w:jc w:val="both"/>
            </w:pPr>
          </w:p>
        </w:tc>
        <w:tc>
          <w:tcPr>
            <w:tcW w:w="4279" w:type="dxa"/>
          </w:tcPr>
          <w:p w14:paraId="4D2C5381" w14:textId="487F6F92" w:rsidR="0015325A" w:rsidRDefault="00F1047A" w:rsidP="00F1047A">
            <w:pPr>
              <w:pStyle w:val="ListBullet"/>
              <w:numPr>
                <w:ilvl w:val="0"/>
                <w:numId w:val="48"/>
              </w:numPr>
              <w:jc w:val="both"/>
            </w:pPr>
            <w:r w:rsidRPr="00F1047A">
              <w:t>E010344</w:t>
            </w:r>
            <w:r>
              <w:t>91</w:t>
            </w:r>
          </w:p>
        </w:tc>
      </w:tr>
    </w:tbl>
    <w:p w14:paraId="69279D7D" w14:textId="27E79412" w:rsidR="00130160" w:rsidRPr="00130160" w:rsidRDefault="00F1047A" w:rsidP="00130160">
      <w:pPr>
        <w:pStyle w:val="ListBullet"/>
        <w:numPr>
          <w:ilvl w:val="0"/>
          <w:numId w:val="0"/>
        </w:numPr>
        <w:ind w:left="851"/>
        <w:jc w:val="both"/>
        <w:rPr>
          <w:b/>
          <w:bCs/>
        </w:rPr>
      </w:pPr>
      <w:r w:rsidRPr="00130160">
        <w:rPr>
          <w:b/>
          <w:bCs/>
        </w:rPr>
        <w:t>Figure A-1: Map of Consett as a combination of MSOAs and LSOAs</w:t>
      </w:r>
    </w:p>
    <w:p w14:paraId="780902DD" w14:textId="07D3F340" w:rsidR="00F1047A" w:rsidRPr="009E1BB6" w:rsidRDefault="00130160" w:rsidP="00F1047A">
      <w:pPr>
        <w:pStyle w:val="ListBullet"/>
        <w:numPr>
          <w:ilvl w:val="0"/>
          <w:numId w:val="0"/>
        </w:numPr>
        <w:ind w:left="851"/>
        <w:jc w:val="both"/>
        <w:rPr>
          <w:b/>
          <w:bCs/>
        </w:rPr>
      </w:pPr>
      <w:r>
        <w:rPr>
          <w:noProof/>
        </w:rPr>
        <w:drawing>
          <wp:inline distT="0" distB="0" distL="0" distR="0" wp14:anchorId="3BDDF44B" wp14:editId="5D50B69E">
            <wp:extent cx="2173185" cy="2086251"/>
            <wp:effectExtent l="0" t="0" r="0" b="9525"/>
            <wp:docPr id="1258068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6887" name="Picture 1" descr="A screenshot of a computer&#10;&#10;Description automatically generated"/>
                    <pic:cNvPicPr/>
                  </pic:nvPicPr>
                  <pic:blipFill rotWithShape="1">
                    <a:blip r:embed="rId30"/>
                    <a:srcRect l="37368" t="52061" r="53123" b="15485"/>
                    <a:stretch/>
                  </pic:blipFill>
                  <pic:spPr bwMode="auto">
                    <a:xfrm>
                      <a:off x="0" y="0"/>
                      <a:ext cx="2195604" cy="2107773"/>
                    </a:xfrm>
                    <a:prstGeom prst="rect">
                      <a:avLst/>
                    </a:prstGeom>
                    <a:ln>
                      <a:noFill/>
                    </a:ln>
                    <a:extLst>
                      <a:ext uri="{53640926-AAD7-44D8-BBD7-CCE9431645EC}">
                        <a14:shadowObscured xmlns:a14="http://schemas.microsoft.com/office/drawing/2010/main"/>
                      </a:ext>
                    </a:extLst>
                  </pic:spPr>
                </pic:pic>
              </a:graphicData>
            </a:graphic>
          </wp:inline>
        </w:drawing>
      </w:r>
    </w:p>
    <w:p w14:paraId="36167260" w14:textId="3A5CEC64" w:rsidR="00201C53" w:rsidRPr="00F1047A" w:rsidRDefault="00F1047A" w:rsidP="00F1047A">
      <w:pPr>
        <w:pStyle w:val="ListBullet"/>
        <w:numPr>
          <w:ilvl w:val="0"/>
          <w:numId w:val="0"/>
        </w:numPr>
        <w:ind w:left="851"/>
        <w:jc w:val="both"/>
        <w:rPr>
          <w:i/>
          <w:iCs/>
        </w:rPr>
      </w:pPr>
      <w:r>
        <w:rPr>
          <w:i/>
          <w:iCs/>
        </w:rPr>
        <w:t>Source: NOMIS</w:t>
      </w:r>
    </w:p>
    <w:bookmarkEnd w:id="183"/>
    <w:p w14:paraId="162E96D5" w14:textId="49875889" w:rsidR="00201C53" w:rsidRPr="00831862" w:rsidRDefault="00201C53" w:rsidP="00252C91">
      <w:pPr>
        <w:pStyle w:val="AppendixText"/>
        <w:jc w:val="both"/>
        <w:rPr>
          <w:bCs/>
        </w:rPr>
      </w:pPr>
      <w:r w:rsidRPr="009E1BB6">
        <w:t xml:space="preserve">Many other datasets besides the Census itself make use of OAs, but not necessarily down to the same level of detail. For example, Valuation Office Agency (VOA) data, which can be used to understand the type and size mix of housing, is only available down to the scale of LSOAs. </w:t>
      </w:r>
    </w:p>
    <w:p w14:paraId="45B9A5CB" w14:textId="31B1970A" w:rsidR="00831862" w:rsidRPr="009A57FD" w:rsidRDefault="00831862" w:rsidP="00831862">
      <w:pPr>
        <w:pStyle w:val="AppendixText"/>
        <w:jc w:val="both"/>
        <w:rPr>
          <w:bCs/>
        </w:rPr>
      </w:pPr>
      <w:r w:rsidRPr="00506A03">
        <w:t xml:space="preserve">Finally, as noted in the analysis of affordability in the main body of the report, household income data for </w:t>
      </w:r>
      <w:r w:rsidRPr="009A57FD">
        <w:t xml:space="preserve">small areas is only provided down to the scale of MSOAs. </w:t>
      </w:r>
      <w:r w:rsidR="0004091C" w:rsidRPr="009A57FD">
        <w:t>The most relevant combination of MSOAs in this case, which will need to be used as a proxy for the NA (for both income and VOA),</w:t>
      </w:r>
      <w:r w:rsidR="0004091C" w:rsidRPr="009E1BB6">
        <w:t xml:space="preserve"> is:</w:t>
      </w:r>
    </w:p>
    <w:p w14:paraId="3158C49C" w14:textId="77777777" w:rsidR="009A57FD" w:rsidRDefault="009A57FD" w:rsidP="009A57FD">
      <w:pPr>
        <w:pStyle w:val="AppendixText"/>
        <w:numPr>
          <w:ilvl w:val="0"/>
          <w:numId w:val="0"/>
        </w:numPr>
        <w:ind w:left="862"/>
        <w:jc w:val="both"/>
      </w:pPr>
    </w:p>
    <w:p w14:paraId="5A291653" w14:textId="77777777" w:rsidR="009A57FD" w:rsidRDefault="009A57FD" w:rsidP="009A57FD">
      <w:pPr>
        <w:pStyle w:val="AppendixText"/>
        <w:numPr>
          <w:ilvl w:val="0"/>
          <w:numId w:val="0"/>
        </w:numPr>
        <w:ind w:left="862"/>
        <w:jc w:val="both"/>
      </w:pPr>
    </w:p>
    <w:p w14:paraId="3CCA17AE" w14:textId="77777777" w:rsidR="009A57FD" w:rsidRPr="00831862" w:rsidRDefault="009A57FD" w:rsidP="009A57FD">
      <w:pPr>
        <w:pStyle w:val="AppendixText"/>
        <w:numPr>
          <w:ilvl w:val="0"/>
          <w:numId w:val="0"/>
        </w:numPr>
        <w:ind w:left="862"/>
        <w:jc w:val="both"/>
        <w:rPr>
          <w:bCs/>
        </w:rPr>
      </w:pPr>
    </w:p>
    <w:p w14:paraId="14BC5521" w14:textId="136E4AA0" w:rsidR="0004091C" w:rsidRDefault="0004091C" w:rsidP="00252C91">
      <w:pPr>
        <w:pStyle w:val="ListBullet"/>
        <w:jc w:val="both"/>
      </w:pPr>
      <w:r>
        <w:lastRenderedPageBreak/>
        <w:t>E02004298</w:t>
      </w:r>
    </w:p>
    <w:p w14:paraId="4E89CB2B" w14:textId="7C8FCE30" w:rsidR="0004091C" w:rsidRDefault="0004091C" w:rsidP="00252C91">
      <w:pPr>
        <w:pStyle w:val="ListBullet"/>
        <w:jc w:val="both"/>
      </w:pPr>
      <w:r>
        <w:t>E0200</w:t>
      </w:r>
      <w:r w:rsidR="009A57FD">
        <w:t>4303</w:t>
      </w:r>
    </w:p>
    <w:p w14:paraId="3AC1A5B3" w14:textId="22555923" w:rsidR="009A57FD" w:rsidRDefault="009A57FD" w:rsidP="00252C91">
      <w:pPr>
        <w:pStyle w:val="ListBullet"/>
        <w:jc w:val="both"/>
      </w:pPr>
      <w:r>
        <w:t>E02004304</w:t>
      </w:r>
    </w:p>
    <w:p w14:paraId="1BD9A3A7" w14:textId="73CD8DDD" w:rsidR="009A57FD" w:rsidRDefault="009A57FD" w:rsidP="00252C91">
      <w:pPr>
        <w:pStyle w:val="ListBullet"/>
        <w:jc w:val="both"/>
      </w:pPr>
      <w:r>
        <w:t>E02004305</w:t>
      </w:r>
    </w:p>
    <w:p w14:paraId="1409CA16" w14:textId="2F1FDFB5" w:rsidR="009A57FD" w:rsidRPr="009A57FD" w:rsidRDefault="00FB3DA3" w:rsidP="009A57FD">
      <w:pPr>
        <w:pStyle w:val="ListBullet"/>
        <w:numPr>
          <w:ilvl w:val="0"/>
          <w:numId w:val="0"/>
        </w:numPr>
        <w:ind w:left="851"/>
        <w:jc w:val="both"/>
        <w:rPr>
          <w:b/>
          <w:bCs/>
        </w:rPr>
      </w:pPr>
      <w:bookmarkStart w:id="184" w:name="_Hlk171410093"/>
      <w:r w:rsidRPr="009A57FD">
        <w:rPr>
          <w:b/>
          <w:bCs/>
        </w:rPr>
        <w:t xml:space="preserve">Figure </w:t>
      </w:r>
      <w:r w:rsidR="009A57FD" w:rsidRPr="009A57FD">
        <w:rPr>
          <w:b/>
          <w:bCs/>
        </w:rPr>
        <w:t>A-1</w:t>
      </w:r>
      <w:r w:rsidRPr="009A57FD">
        <w:rPr>
          <w:b/>
          <w:bCs/>
        </w:rPr>
        <w:t xml:space="preserve">: Map of </w:t>
      </w:r>
      <w:r w:rsidR="008B32AF" w:rsidRPr="009A57FD">
        <w:rPr>
          <w:b/>
          <w:bCs/>
        </w:rPr>
        <w:t>M</w:t>
      </w:r>
      <w:r w:rsidRPr="009A57FD">
        <w:rPr>
          <w:b/>
          <w:bCs/>
        </w:rPr>
        <w:t>SOA</w:t>
      </w:r>
      <w:r w:rsidR="006E5C66" w:rsidRPr="009A57FD">
        <w:rPr>
          <w:b/>
          <w:bCs/>
        </w:rPr>
        <w:t xml:space="preserve"> for VOA </w:t>
      </w:r>
      <w:r w:rsidR="00D85991">
        <w:rPr>
          <w:b/>
          <w:bCs/>
        </w:rPr>
        <w:t xml:space="preserve">and Income </w:t>
      </w:r>
      <w:r w:rsidR="006E5C66" w:rsidRPr="009A57FD">
        <w:rPr>
          <w:b/>
          <w:bCs/>
        </w:rPr>
        <w:t>Data</w:t>
      </w:r>
    </w:p>
    <w:p w14:paraId="67447261" w14:textId="32E19B26" w:rsidR="006E5C66" w:rsidRDefault="009A57FD" w:rsidP="00FB3DA3">
      <w:pPr>
        <w:pStyle w:val="ListBullet"/>
        <w:numPr>
          <w:ilvl w:val="0"/>
          <w:numId w:val="0"/>
        </w:numPr>
        <w:ind w:left="851"/>
        <w:jc w:val="both"/>
        <w:rPr>
          <w:b/>
          <w:bCs/>
        </w:rPr>
      </w:pPr>
      <w:r>
        <w:rPr>
          <w:noProof/>
        </w:rPr>
        <w:drawing>
          <wp:inline distT="0" distB="0" distL="0" distR="0" wp14:anchorId="292B1DA7" wp14:editId="323993A5">
            <wp:extent cx="3041650" cy="2068322"/>
            <wp:effectExtent l="0" t="0" r="6350" b="8255"/>
            <wp:docPr id="3388399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39968" name="Picture 1" descr="A screenshot of a computer&#10;&#10;Description automatically generated"/>
                    <pic:cNvPicPr/>
                  </pic:nvPicPr>
                  <pic:blipFill rotWithShape="1">
                    <a:blip r:embed="rId31"/>
                    <a:srcRect l="10474" t="23138" r="74273" b="39986"/>
                    <a:stretch/>
                  </pic:blipFill>
                  <pic:spPr bwMode="auto">
                    <a:xfrm>
                      <a:off x="0" y="0"/>
                      <a:ext cx="3051034" cy="2074703"/>
                    </a:xfrm>
                    <a:prstGeom prst="rect">
                      <a:avLst/>
                    </a:prstGeom>
                    <a:ln>
                      <a:noFill/>
                    </a:ln>
                    <a:extLst>
                      <a:ext uri="{53640926-AAD7-44D8-BBD7-CCE9431645EC}">
                        <a14:shadowObscured xmlns:a14="http://schemas.microsoft.com/office/drawing/2010/main"/>
                      </a:ext>
                    </a:extLst>
                  </pic:spPr>
                </pic:pic>
              </a:graphicData>
            </a:graphic>
          </wp:inline>
        </w:drawing>
      </w:r>
    </w:p>
    <w:p w14:paraId="3000E56A" w14:textId="2CF03529" w:rsidR="006E5C66" w:rsidRPr="006E5C66" w:rsidRDefault="006E5C66" w:rsidP="00FB3DA3">
      <w:pPr>
        <w:pStyle w:val="ListBullet"/>
        <w:numPr>
          <w:ilvl w:val="0"/>
          <w:numId w:val="0"/>
        </w:numPr>
        <w:ind w:left="851"/>
        <w:jc w:val="both"/>
        <w:rPr>
          <w:i/>
          <w:iCs/>
        </w:rPr>
      </w:pPr>
      <w:r>
        <w:rPr>
          <w:i/>
          <w:iCs/>
        </w:rPr>
        <w:t>Source: NOMIS</w:t>
      </w:r>
    </w:p>
    <w:bookmarkEnd w:id="184"/>
    <w:p w14:paraId="5EABB0DF" w14:textId="475C45AD" w:rsidR="00201C53" w:rsidRPr="009E1BB6" w:rsidRDefault="00201C53" w:rsidP="00252C91">
      <w:pPr>
        <w:tabs>
          <w:tab w:val="clear" w:pos="284"/>
          <w:tab w:val="num" w:pos="1145"/>
        </w:tabs>
        <w:spacing w:after="120"/>
        <w:jc w:val="both"/>
      </w:pPr>
    </w:p>
    <w:p w14:paraId="7BAD4854" w14:textId="77777777" w:rsidR="00201C53" w:rsidRPr="009E1BB6" w:rsidRDefault="00201C53" w:rsidP="00252C91">
      <w:pPr>
        <w:tabs>
          <w:tab w:val="clear" w:pos="284"/>
        </w:tabs>
        <w:spacing w:after="120"/>
        <w:jc w:val="both"/>
      </w:pPr>
    </w:p>
    <w:p w14:paraId="41BCBF3E" w14:textId="77777777" w:rsidR="00201C53" w:rsidRPr="009E1BB6" w:rsidRDefault="00201C53" w:rsidP="00252C91">
      <w:pPr>
        <w:tabs>
          <w:tab w:val="clear" w:pos="284"/>
        </w:tabs>
        <w:spacing w:line="240" w:lineRule="auto"/>
        <w:jc w:val="both"/>
      </w:pPr>
      <w:bookmarkStart w:id="185" w:name="_Toc2690292"/>
      <w:bookmarkStart w:id="186" w:name="_Toc31722703"/>
      <w:bookmarkStart w:id="187" w:name="_Toc102731920"/>
      <w:r w:rsidRPr="009E1BB6">
        <w:br w:type="page"/>
      </w:r>
    </w:p>
    <w:p w14:paraId="010189C4" w14:textId="77777777" w:rsidR="00201C53" w:rsidRPr="009E1BB6" w:rsidRDefault="00201C53" w:rsidP="00252C91">
      <w:pPr>
        <w:pStyle w:val="Appendix"/>
        <w:numPr>
          <w:ilvl w:val="0"/>
          <w:numId w:val="22"/>
        </w:numPr>
        <w:jc w:val="both"/>
        <w:rPr>
          <w:color w:val="auto"/>
        </w:rPr>
      </w:pPr>
      <w:bookmarkStart w:id="188" w:name="_Toc170398397"/>
      <w:bookmarkStart w:id="189" w:name="_Toc185339917"/>
      <w:r w:rsidRPr="009E1BB6">
        <w:rPr>
          <w:color w:val="auto"/>
        </w:rPr>
        <w:lastRenderedPageBreak/>
        <w:t>: Local Plan context</w:t>
      </w:r>
      <w:bookmarkEnd w:id="188"/>
      <w:bookmarkEnd w:id="189"/>
    </w:p>
    <w:p w14:paraId="330EC852" w14:textId="77777777" w:rsidR="00201C53" w:rsidRPr="009E1BB6" w:rsidRDefault="00201C53" w:rsidP="00252C91">
      <w:pPr>
        <w:pStyle w:val="Appendixheading2"/>
        <w:jc w:val="both"/>
        <w:rPr>
          <w:color w:val="auto"/>
        </w:rPr>
      </w:pPr>
      <w:bookmarkStart w:id="190" w:name="_Toc31722620"/>
      <w:bookmarkStart w:id="191" w:name="_Toc102731829"/>
      <w:r w:rsidRPr="009E1BB6">
        <w:rPr>
          <w:color w:val="auto"/>
        </w:rPr>
        <w:t>Policies in the adopted local plan</w:t>
      </w:r>
      <w:bookmarkEnd w:id="190"/>
      <w:bookmarkEnd w:id="191"/>
    </w:p>
    <w:p w14:paraId="5927BA65" w14:textId="5C03FAC3" w:rsidR="00201C53" w:rsidRPr="00422E8C" w:rsidRDefault="00201C53" w:rsidP="00252C91">
      <w:pPr>
        <w:pStyle w:val="AppendixText"/>
        <w:jc w:val="both"/>
        <w:rPr>
          <w:bCs/>
        </w:rPr>
      </w:pPr>
      <w:r w:rsidRPr="009E1BB6">
        <w:t xml:space="preserve">Table B-1 below summarises adopted Local Plan policies that are relevant to housing need and </w:t>
      </w:r>
      <w:r w:rsidRPr="00422E8C">
        <w:t xml:space="preserve">delivery in </w:t>
      </w:r>
      <w:r w:rsidR="00D143F2" w:rsidRPr="00422E8C">
        <w:t>Consett</w:t>
      </w:r>
      <w:r w:rsidRPr="00422E8C">
        <w:t>.</w:t>
      </w:r>
    </w:p>
    <w:p w14:paraId="64269A68" w14:textId="07BB96F3" w:rsidR="00201C53" w:rsidRPr="009E1BB6" w:rsidRDefault="00201C53" w:rsidP="00252C91">
      <w:pPr>
        <w:pStyle w:val="Caption"/>
        <w:jc w:val="both"/>
        <w:rPr>
          <w:color w:val="auto"/>
        </w:rPr>
      </w:pPr>
      <w:r w:rsidRPr="00422E8C">
        <w:rPr>
          <w:color w:val="auto"/>
        </w:rPr>
        <w:t xml:space="preserve">Table B-1: Summary of relevant adopted policies in the  adopted Local Plan </w:t>
      </w:r>
      <w:r w:rsidR="0027157D" w:rsidRPr="00422E8C">
        <w:rPr>
          <w:color w:val="auto"/>
        </w:rPr>
        <w:t xml:space="preserve">for </w:t>
      </w:r>
      <w:r w:rsidR="0056515D" w:rsidRPr="00422E8C">
        <w:rPr>
          <w:color w:val="auto"/>
        </w:rPr>
        <w:t>County Durham Council</w:t>
      </w:r>
    </w:p>
    <w:tbl>
      <w:tblPr>
        <w:tblStyle w:val="AECOMtable"/>
        <w:tblW w:w="4829" w:type="pct"/>
        <w:tblLayout w:type="fixed"/>
        <w:tblLook w:val="04A0" w:firstRow="1" w:lastRow="0" w:firstColumn="1" w:lastColumn="0" w:noHBand="0" w:noVBand="1"/>
      </w:tblPr>
      <w:tblGrid>
        <w:gridCol w:w="2052"/>
        <w:gridCol w:w="7446"/>
      </w:tblGrid>
      <w:tr w:rsidR="009E1BB6" w:rsidRPr="009E1BB6" w14:paraId="57FCB773" w14:textId="77777777" w:rsidTr="00A27979">
        <w:trPr>
          <w:cnfStyle w:val="100000000000" w:firstRow="1" w:lastRow="0" w:firstColumn="0" w:lastColumn="0" w:oddVBand="0" w:evenVBand="0" w:oddHBand="0" w:evenHBand="0" w:firstRowFirstColumn="0" w:firstRowLastColumn="0" w:lastRowFirstColumn="0" w:lastRowLastColumn="0"/>
          <w:tblHeader/>
        </w:trPr>
        <w:tc>
          <w:tcPr>
            <w:tcW w:w="2052" w:type="dxa"/>
          </w:tcPr>
          <w:p w14:paraId="37FE648B" w14:textId="77777777" w:rsidR="00201C53" w:rsidRPr="009E1BB6" w:rsidRDefault="00201C53" w:rsidP="00252C91">
            <w:pPr>
              <w:pStyle w:val="Tabletext"/>
              <w:spacing w:line="276" w:lineRule="auto"/>
              <w:jc w:val="both"/>
              <w:rPr>
                <w:rFonts w:asciiTheme="minorHAnsi" w:hAnsiTheme="minorHAnsi"/>
                <w:b w:val="0"/>
                <w:color w:val="auto"/>
                <w:sz w:val="24"/>
                <w:szCs w:val="24"/>
              </w:rPr>
            </w:pPr>
            <w:r w:rsidRPr="009E1BB6">
              <w:rPr>
                <w:color w:val="auto"/>
                <w:sz w:val="24"/>
                <w:szCs w:val="24"/>
              </w:rPr>
              <w:t>Policy</w:t>
            </w:r>
          </w:p>
        </w:tc>
        <w:tc>
          <w:tcPr>
            <w:tcW w:w="7446" w:type="dxa"/>
          </w:tcPr>
          <w:p w14:paraId="3563FD64" w14:textId="77777777" w:rsidR="00201C53" w:rsidRPr="009E1BB6" w:rsidRDefault="00201C53" w:rsidP="00252C91">
            <w:pPr>
              <w:pStyle w:val="Tabletext"/>
              <w:spacing w:line="276" w:lineRule="auto"/>
              <w:jc w:val="both"/>
              <w:rPr>
                <w:color w:val="auto"/>
                <w:sz w:val="24"/>
                <w:szCs w:val="24"/>
              </w:rPr>
            </w:pPr>
            <w:r w:rsidRPr="009E1BB6">
              <w:rPr>
                <w:color w:val="auto"/>
                <w:sz w:val="24"/>
                <w:szCs w:val="24"/>
              </w:rPr>
              <w:t>Provisions</w:t>
            </w:r>
          </w:p>
        </w:tc>
      </w:tr>
      <w:tr w:rsidR="009E1BB6" w:rsidRPr="009E1BB6" w14:paraId="44334A8E" w14:textId="77777777" w:rsidTr="00A27979">
        <w:trPr>
          <w:trHeight w:val="240"/>
        </w:trPr>
        <w:tc>
          <w:tcPr>
            <w:tcW w:w="2052" w:type="dxa"/>
          </w:tcPr>
          <w:p w14:paraId="1516939E" w14:textId="00E9008A" w:rsidR="00201C53" w:rsidRPr="009E1BB6" w:rsidRDefault="00165FC8" w:rsidP="00252C91">
            <w:pPr>
              <w:pStyle w:val="Tabletext"/>
              <w:spacing w:line="276" w:lineRule="auto"/>
              <w:jc w:val="both"/>
              <w:rPr>
                <w:sz w:val="24"/>
                <w:szCs w:val="24"/>
              </w:rPr>
            </w:pPr>
            <w:r>
              <w:rPr>
                <w:sz w:val="24"/>
                <w:szCs w:val="24"/>
              </w:rPr>
              <w:t xml:space="preserve">Policy 1 </w:t>
            </w:r>
            <w:r w:rsidR="00916098">
              <w:rPr>
                <w:sz w:val="24"/>
                <w:szCs w:val="24"/>
              </w:rPr>
              <w:t>–</w:t>
            </w:r>
            <w:r>
              <w:rPr>
                <w:sz w:val="24"/>
                <w:szCs w:val="24"/>
              </w:rPr>
              <w:t xml:space="preserve"> </w:t>
            </w:r>
            <w:r w:rsidR="00916098">
              <w:rPr>
                <w:sz w:val="24"/>
                <w:szCs w:val="24"/>
              </w:rPr>
              <w:t>Quantity of New Development</w:t>
            </w:r>
          </w:p>
        </w:tc>
        <w:tc>
          <w:tcPr>
            <w:tcW w:w="7446" w:type="dxa"/>
          </w:tcPr>
          <w:p w14:paraId="1E29C9E6" w14:textId="7BE31292" w:rsidR="00201C53" w:rsidRPr="009E1BB6" w:rsidRDefault="00916098" w:rsidP="00252C91">
            <w:pPr>
              <w:pStyle w:val="Tabletext"/>
              <w:spacing w:line="276" w:lineRule="auto"/>
              <w:jc w:val="both"/>
              <w:rPr>
                <w:sz w:val="24"/>
                <w:szCs w:val="24"/>
              </w:rPr>
            </w:pPr>
            <w:r>
              <w:rPr>
                <w:sz w:val="24"/>
                <w:szCs w:val="24"/>
              </w:rPr>
              <w:t xml:space="preserve">A net minimum of 24,852 new homes </w:t>
            </w:r>
            <w:r w:rsidR="00CE68ED">
              <w:rPr>
                <w:sz w:val="24"/>
                <w:szCs w:val="24"/>
              </w:rPr>
              <w:t xml:space="preserve">should be delivered across County Durham between 2016 and 2035 (1,308 per annum). </w:t>
            </w:r>
          </w:p>
        </w:tc>
      </w:tr>
      <w:tr w:rsidR="009E1BB6" w:rsidRPr="009E1BB6" w14:paraId="2ED2539D" w14:textId="77777777" w:rsidTr="00A27979">
        <w:trPr>
          <w:trHeight w:val="240"/>
        </w:trPr>
        <w:tc>
          <w:tcPr>
            <w:tcW w:w="2052" w:type="dxa"/>
          </w:tcPr>
          <w:p w14:paraId="7EC006CB" w14:textId="0FE6B89A" w:rsidR="00201C53" w:rsidRPr="009E1BB6" w:rsidRDefault="00A451A8" w:rsidP="00252C91">
            <w:pPr>
              <w:pStyle w:val="Tabletext"/>
              <w:spacing w:line="276" w:lineRule="auto"/>
              <w:jc w:val="both"/>
              <w:rPr>
                <w:sz w:val="24"/>
                <w:szCs w:val="24"/>
              </w:rPr>
            </w:pPr>
            <w:r>
              <w:rPr>
                <w:sz w:val="24"/>
                <w:szCs w:val="24"/>
              </w:rPr>
              <w:t>Policy 4 – Housing Allocations</w:t>
            </w:r>
          </w:p>
        </w:tc>
        <w:tc>
          <w:tcPr>
            <w:tcW w:w="7446" w:type="dxa"/>
          </w:tcPr>
          <w:p w14:paraId="27D19874" w14:textId="4AF19761" w:rsidR="00201C53" w:rsidRPr="009E1BB6" w:rsidRDefault="00A451A8" w:rsidP="00252C91">
            <w:pPr>
              <w:pStyle w:val="Tabletext"/>
              <w:spacing w:line="276" w:lineRule="auto"/>
              <w:jc w:val="both"/>
              <w:rPr>
                <w:sz w:val="24"/>
                <w:szCs w:val="24"/>
              </w:rPr>
            </w:pPr>
            <w:r>
              <w:rPr>
                <w:sz w:val="24"/>
                <w:szCs w:val="24"/>
              </w:rPr>
              <w:t>Five sites</w:t>
            </w:r>
            <w:r w:rsidR="00717BC2">
              <w:rPr>
                <w:sz w:val="24"/>
                <w:szCs w:val="24"/>
              </w:rPr>
              <w:t xml:space="preserve"> in Consett</w:t>
            </w:r>
            <w:r>
              <w:rPr>
                <w:sz w:val="24"/>
                <w:szCs w:val="24"/>
              </w:rPr>
              <w:t xml:space="preserve"> are allocated through the plan </w:t>
            </w:r>
            <w:r w:rsidR="003F7AA7">
              <w:rPr>
                <w:sz w:val="24"/>
                <w:szCs w:val="24"/>
              </w:rPr>
              <w:t xml:space="preserve">which should deliver a total of 670 dwellings. </w:t>
            </w:r>
          </w:p>
        </w:tc>
      </w:tr>
      <w:tr w:rsidR="002957DE" w:rsidRPr="009E1BB6" w14:paraId="3417CA4B" w14:textId="77777777" w:rsidTr="00A27979">
        <w:trPr>
          <w:trHeight w:val="240"/>
        </w:trPr>
        <w:tc>
          <w:tcPr>
            <w:tcW w:w="2052" w:type="dxa"/>
          </w:tcPr>
          <w:p w14:paraId="7499E0F8" w14:textId="23155F7F" w:rsidR="002957DE" w:rsidRDefault="002957DE" w:rsidP="00252C91">
            <w:pPr>
              <w:pStyle w:val="Tabletext"/>
              <w:spacing w:line="276" w:lineRule="auto"/>
              <w:jc w:val="both"/>
              <w:rPr>
                <w:sz w:val="24"/>
                <w:szCs w:val="24"/>
              </w:rPr>
            </w:pPr>
            <w:r>
              <w:rPr>
                <w:sz w:val="24"/>
                <w:szCs w:val="24"/>
              </w:rPr>
              <w:t>Policy 9 – Retail Hierar</w:t>
            </w:r>
            <w:r w:rsidR="003E1CEA">
              <w:rPr>
                <w:sz w:val="24"/>
                <w:szCs w:val="24"/>
              </w:rPr>
              <w:t>chy and Town Centre Development</w:t>
            </w:r>
          </w:p>
        </w:tc>
        <w:tc>
          <w:tcPr>
            <w:tcW w:w="7446" w:type="dxa"/>
          </w:tcPr>
          <w:p w14:paraId="4E587F48" w14:textId="2AC41516" w:rsidR="002957DE" w:rsidRDefault="003E1CEA" w:rsidP="00252C91">
            <w:pPr>
              <w:pStyle w:val="Tabletext"/>
              <w:spacing w:line="276" w:lineRule="auto"/>
              <w:jc w:val="both"/>
              <w:rPr>
                <w:sz w:val="24"/>
                <w:szCs w:val="24"/>
              </w:rPr>
            </w:pPr>
            <w:r>
              <w:rPr>
                <w:sz w:val="24"/>
                <w:szCs w:val="24"/>
              </w:rPr>
              <w:t xml:space="preserve">Consett is designated as one of </w:t>
            </w:r>
            <w:r w:rsidR="005A1654">
              <w:rPr>
                <w:sz w:val="24"/>
                <w:szCs w:val="24"/>
              </w:rPr>
              <w:t>nine ‘Larger Town Centres’ in County Durham</w:t>
            </w:r>
            <w:r w:rsidR="00444A21">
              <w:rPr>
                <w:sz w:val="24"/>
                <w:szCs w:val="24"/>
              </w:rPr>
              <w:t>.</w:t>
            </w:r>
          </w:p>
        </w:tc>
      </w:tr>
      <w:tr w:rsidR="00ED4708" w:rsidRPr="009E1BB6" w14:paraId="38707DFB" w14:textId="77777777" w:rsidTr="00A27979">
        <w:trPr>
          <w:trHeight w:val="240"/>
        </w:trPr>
        <w:tc>
          <w:tcPr>
            <w:tcW w:w="2052" w:type="dxa"/>
          </w:tcPr>
          <w:p w14:paraId="0DE2C695" w14:textId="0219B4C0" w:rsidR="00ED4708" w:rsidRDefault="00ED4708" w:rsidP="00252C91">
            <w:pPr>
              <w:pStyle w:val="Tabletext"/>
              <w:spacing w:line="276" w:lineRule="auto"/>
              <w:jc w:val="both"/>
              <w:rPr>
                <w:sz w:val="24"/>
                <w:szCs w:val="24"/>
              </w:rPr>
            </w:pPr>
            <w:r>
              <w:rPr>
                <w:sz w:val="24"/>
                <w:szCs w:val="24"/>
              </w:rPr>
              <w:t>Policy 15 – Affordable Housing Nee</w:t>
            </w:r>
            <w:r w:rsidR="00D15DCC">
              <w:rPr>
                <w:sz w:val="24"/>
                <w:szCs w:val="24"/>
              </w:rPr>
              <w:t>d</w:t>
            </w:r>
          </w:p>
        </w:tc>
        <w:tc>
          <w:tcPr>
            <w:tcW w:w="7446" w:type="dxa"/>
          </w:tcPr>
          <w:p w14:paraId="637A1E5A" w14:textId="0BC913BC" w:rsidR="00EE0F6B" w:rsidRDefault="005837B4" w:rsidP="00252C91">
            <w:pPr>
              <w:pStyle w:val="Tabletext"/>
              <w:spacing w:line="276" w:lineRule="auto"/>
              <w:jc w:val="both"/>
              <w:rPr>
                <w:sz w:val="24"/>
                <w:szCs w:val="24"/>
              </w:rPr>
            </w:pPr>
            <w:r>
              <w:rPr>
                <w:sz w:val="24"/>
                <w:szCs w:val="24"/>
              </w:rPr>
              <w:t xml:space="preserve">Affordable housing will be sought on sites of more </w:t>
            </w:r>
            <w:r w:rsidR="00954675">
              <w:rPr>
                <w:sz w:val="24"/>
                <w:szCs w:val="24"/>
              </w:rPr>
              <w:t>than</w:t>
            </w:r>
            <w:r>
              <w:rPr>
                <w:sz w:val="24"/>
                <w:szCs w:val="24"/>
              </w:rPr>
              <w:t xml:space="preserve"> </w:t>
            </w:r>
            <w:r w:rsidR="006444FF">
              <w:rPr>
                <w:sz w:val="24"/>
                <w:szCs w:val="24"/>
              </w:rPr>
              <w:t>10 units, the following contribution will be sought</w:t>
            </w:r>
            <w:r w:rsidR="00FA03F4">
              <w:rPr>
                <w:sz w:val="24"/>
                <w:szCs w:val="24"/>
              </w:rPr>
              <w:t xml:space="preserve">, depending on the site location: </w:t>
            </w:r>
          </w:p>
          <w:p w14:paraId="5F83B158" w14:textId="314EEE42" w:rsidR="00FA03F4" w:rsidRDefault="00FA03F4" w:rsidP="00FA03F4">
            <w:pPr>
              <w:pStyle w:val="Tabletext"/>
              <w:numPr>
                <w:ilvl w:val="0"/>
                <w:numId w:val="45"/>
              </w:numPr>
              <w:tabs>
                <w:tab w:val="clear" w:pos="425"/>
                <w:tab w:val="num" w:pos="923"/>
              </w:tabs>
              <w:spacing w:line="276" w:lineRule="auto"/>
              <w:ind w:left="1065" w:hanging="567"/>
              <w:jc w:val="both"/>
              <w:rPr>
                <w:sz w:val="24"/>
                <w:szCs w:val="24"/>
              </w:rPr>
            </w:pPr>
            <w:r>
              <w:rPr>
                <w:sz w:val="24"/>
                <w:szCs w:val="24"/>
              </w:rPr>
              <w:t>Highest Value Area: 25%</w:t>
            </w:r>
          </w:p>
          <w:p w14:paraId="1C96C3BC" w14:textId="21A089F5" w:rsidR="00FA03F4" w:rsidRDefault="00FA03F4" w:rsidP="00FA03F4">
            <w:pPr>
              <w:pStyle w:val="Tabletext"/>
              <w:numPr>
                <w:ilvl w:val="0"/>
                <w:numId w:val="45"/>
              </w:numPr>
              <w:tabs>
                <w:tab w:val="clear" w:pos="425"/>
                <w:tab w:val="num" w:pos="923"/>
              </w:tabs>
              <w:spacing w:line="276" w:lineRule="auto"/>
              <w:ind w:left="1065" w:hanging="567"/>
              <w:jc w:val="both"/>
              <w:rPr>
                <w:sz w:val="24"/>
                <w:szCs w:val="24"/>
              </w:rPr>
            </w:pPr>
            <w:r>
              <w:rPr>
                <w:sz w:val="24"/>
                <w:szCs w:val="24"/>
              </w:rPr>
              <w:t>High Value Area: 20%</w:t>
            </w:r>
          </w:p>
          <w:p w14:paraId="4E000A4B" w14:textId="218C2B47" w:rsidR="00FA03F4" w:rsidRPr="00FA03F4" w:rsidRDefault="00FA03F4" w:rsidP="00FA03F4">
            <w:pPr>
              <w:pStyle w:val="Tabletext"/>
              <w:numPr>
                <w:ilvl w:val="0"/>
                <w:numId w:val="45"/>
              </w:numPr>
              <w:tabs>
                <w:tab w:val="clear" w:pos="425"/>
                <w:tab w:val="num" w:pos="923"/>
              </w:tabs>
              <w:spacing w:line="276" w:lineRule="auto"/>
              <w:ind w:left="1065" w:hanging="567"/>
              <w:jc w:val="both"/>
              <w:rPr>
                <w:sz w:val="24"/>
                <w:szCs w:val="24"/>
              </w:rPr>
            </w:pPr>
            <w:r>
              <w:rPr>
                <w:sz w:val="24"/>
                <w:szCs w:val="24"/>
              </w:rPr>
              <w:t>Medium Value Area: 15%</w:t>
            </w:r>
          </w:p>
          <w:p w14:paraId="0FFBCD05" w14:textId="77777777" w:rsidR="00FA03F4" w:rsidRDefault="00FA03F4" w:rsidP="00FA03F4">
            <w:pPr>
              <w:pStyle w:val="Tabletext"/>
              <w:numPr>
                <w:ilvl w:val="0"/>
                <w:numId w:val="45"/>
              </w:numPr>
              <w:tabs>
                <w:tab w:val="clear" w:pos="425"/>
                <w:tab w:val="num" w:pos="923"/>
              </w:tabs>
              <w:spacing w:line="276" w:lineRule="auto"/>
              <w:ind w:left="1065" w:hanging="567"/>
              <w:jc w:val="both"/>
              <w:rPr>
                <w:sz w:val="24"/>
                <w:szCs w:val="24"/>
              </w:rPr>
            </w:pPr>
            <w:r>
              <w:rPr>
                <w:sz w:val="24"/>
                <w:szCs w:val="24"/>
              </w:rPr>
              <w:t>Low Value Area: 10%</w:t>
            </w:r>
          </w:p>
          <w:p w14:paraId="57DF9F77" w14:textId="77777777" w:rsidR="00EE0F6B" w:rsidRDefault="00EE0F6B" w:rsidP="00EE0F6B">
            <w:pPr>
              <w:pStyle w:val="Tabletext"/>
              <w:spacing w:line="276" w:lineRule="auto"/>
              <w:jc w:val="both"/>
              <w:rPr>
                <w:sz w:val="24"/>
                <w:szCs w:val="24"/>
              </w:rPr>
            </w:pPr>
          </w:p>
          <w:p w14:paraId="0B9F50D6" w14:textId="77777777" w:rsidR="00EE0F6B" w:rsidRDefault="00EE0F6B" w:rsidP="00EE0F6B">
            <w:pPr>
              <w:pStyle w:val="Tabletext"/>
              <w:spacing w:line="276" w:lineRule="auto"/>
              <w:jc w:val="both"/>
              <w:rPr>
                <w:sz w:val="24"/>
                <w:szCs w:val="24"/>
              </w:rPr>
            </w:pPr>
            <w:r>
              <w:rPr>
                <w:sz w:val="24"/>
                <w:szCs w:val="24"/>
              </w:rPr>
              <w:t xml:space="preserve">10% of new Affordable Homes should be provided for affordable home ownership. </w:t>
            </w:r>
          </w:p>
          <w:p w14:paraId="0B6C71A9" w14:textId="77777777" w:rsidR="00EE0F6B" w:rsidRDefault="00EE0F6B" w:rsidP="00EE0F6B">
            <w:pPr>
              <w:pStyle w:val="Tabletext"/>
              <w:spacing w:line="276" w:lineRule="auto"/>
              <w:jc w:val="both"/>
              <w:rPr>
                <w:sz w:val="24"/>
                <w:szCs w:val="24"/>
              </w:rPr>
            </w:pPr>
          </w:p>
          <w:p w14:paraId="724550BF" w14:textId="041679F2" w:rsidR="00EE0F6B" w:rsidRDefault="0062458F" w:rsidP="00EE0F6B">
            <w:pPr>
              <w:pStyle w:val="Tabletext"/>
              <w:spacing w:line="276" w:lineRule="auto"/>
              <w:jc w:val="both"/>
              <w:rPr>
                <w:b/>
                <w:bCs/>
                <w:sz w:val="24"/>
                <w:szCs w:val="24"/>
              </w:rPr>
            </w:pPr>
            <w:r>
              <w:rPr>
                <w:b/>
                <w:bCs/>
                <w:sz w:val="24"/>
                <w:szCs w:val="24"/>
              </w:rPr>
              <w:t>Meeting the Needs of Older People and People with Disabilities</w:t>
            </w:r>
          </w:p>
          <w:p w14:paraId="5372B68B" w14:textId="77777777" w:rsidR="0062458F" w:rsidRDefault="0062458F" w:rsidP="00EE0F6B">
            <w:pPr>
              <w:pStyle w:val="Tabletext"/>
              <w:spacing w:line="276" w:lineRule="auto"/>
              <w:jc w:val="both"/>
              <w:rPr>
                <w:b/>
                <w:bCs/>
                <w:sz w:val="24"/>
                <w:szCs w:val="24"/>
              </w:rPr>
            </w:pPr>
          </w:p>
          <w:p w14:paraId="4FE8FE4C" w14:textId="7F4F8ADA" w:rsidR="0085404F" w:rsidRPr="00911C00" w:rsidRDefault="007D78C7" w:rsidP="00EE0F6B">
            <w:pPr>
              <w:pStyle w:val="Tabletext"/>
              <w:spacing w:line="276" w:lineRule="auto"/>
              <w:jc w:val="both"/>
              <w:rPr>
                <w:szCs w:val="24"/>
              </w:rPr>
            </w:pPr>
            <w:r>
              <w:rPr>
                <w:sz w:val="24"/>
                <w:szCs w:val="24"/>
              </w:rPr>
              <w:t xml:space="preserve">On sites of more than 5 units, 66% of dwellings must be built to Building </w:t>
            </w:r>
            <w:r w:rsidR="00D15DCC" w:rsidRPr="00D15DCC">
              <w:rPr>
                <w:sz w:val="24"/>
                <w:szCs w:val="24"/>
              </w:rPr>
              <w:t>Regulations Requirement M4 (2) (accessible and adaptable dwellings) standard.</w:t>
            </w:r>
          </w:p>
        </w:tc>
      </w:tr>
      <w:tr w:rsidR="009E1BB6" w:rsidRPr="009E1BB6" w14:paraId="75FF3FE8" w14:textId="77777777" w:rsidTr="00A27979">
        <w:trPr>
          <w:trHeight w:val="240"/>
        </w:trPr>
        <w:tc>
          <w:tcPr>
            <w:tcW w:w="2052" w:type="dxa"/>
          </w:tcPr>
          <w:p w14:paraId="55DE6DB9" w14:textId="77777777" w:rsidR="00201C53" w:rsidRPr="009E1BB6" w:rsidRDefault="00201C53" w:rsidP="00252C91">
            <w:pPr>
              <w:pStyle w:val="Tabletext"/>
              <w:spacing w:line="276" w:lineRule="auto"/>
              <w:jc w:val="both"/>
              <w:rPr>
                <w:sz w:val="18"/>
              </w:rPr>
            </w:pPr>
          </w:p>
        </w:tc>
        <w:tc>
          <w:tcPr>
            <w:tcW w:w="7446" w:type="dxa"/>
          </w:tcPr>
          <w:p w14:paraId="51243B2E" w14:textId="77777777" w:rsidR="00201C53" w:rsidRPr="009E1BB6" w:rsidRDefault="00201C53" w:rsidP="00252C91">
            <w:pPr>
              <w:pStyle w:val="Tabletext"/>
              <w:spacing w:line="276" w:lineRule="auto"/>
              <w:jc w:val="both"/>
              <w:rPr>
                <w:sz w:val="18"/>
              </w:rPr>
            </w:pPr>
          </w:p>
        </w:tc>
      </w:tr>
    </w:tbl>
    <w:p w14:paraId="5C438C35" w14:textId="77020DA1" w:rsidR="00201C53" w:rsidRPr="009E1BB6" w:rsidRDefault="00201C53" w:rsidP="00252C91">
      <w:pPr>
        <w:pStyle w:val="Source"/>
        <w:jc w:val="both"/>
      </w:pPr>
      <w:r w:rsidRPr="009E1BB6">
        <w:t xml:space="preserve">Source: </w:t>
      </w:r>
      <w:r w:rsidR="00C24B32">
        <w:t>County Durham Local Plan (adopted 2020)</w:t>
      </w:r>
    </w:p>
    <w:p w14:paraId="44B7D8AF" w14:textId="77777777" w:rsidR="00201C53" w:rsidRPr="009E1BB6" w:rsidRDefault="00201C53" w:rsidP="00252C91">
      <w:pPr>
        <w:tabs>
          <w:tab w:val="clear" w:pos="284"/>
        </w:tabs>
        <w:spacing w:line="240" w:lineRule="auto"/>
        <w:jc w:val="both"/>
        <w:rPr>
          <w:rFonts w:asciiTheme="majorHAnsi" w:eastAsiaTheme="majorEastAsia" w:hAnsiTheme="majorHAnsi" w:cstheme="majorHAnsi"/>
          <w:b/>
          <w:bCs/>
          <w:sz w:val="36"/>
          <w:szCs w:val="36"/>
          <w:lang w:val="en-US"/>
        </w:rPr>
      </w:pPr>
      <w:r w:rsidRPr="009E1BB6">
        <w:br w:type="page"/>
      </w:r>
    </w:p>
    <w:p w14:paraId="5C009108" w14:textId="77777777" w:rsidR="00201C53" w:rsidRPr="009E1BB6" w:rsidRDefault="00201C53" w:rsidP="00252C91">
      <w:pPr>
        <w:pStyle w:val="Appendix"/>
        <w:numPr>
          <w:ilvl w:val="0"/>
          <w:numId w:val="22"/>
        </w:numPr>
        <w:jc w:val="both"/>
        <w:rPr>
          <w:color w:val="auto"/>
        </w:rPr>
      </w:pPr>
      <w:bookmarkStart w:id="192" w:name="_Toc170398398"/>
      <w:bookmarkStart w:id="193" w:name="_Toc185339918"/>
      <w:bookmarkStart w:id="194" w:name="_Hlk118463295"/>
      <w:r w:rsidRPr="009E1BB6">
        <w:rPr>
          <w:color w:val="auto"/>
        </w:rPr>
        <w:lastRenderedPageBreak/>
        <w:t>: Affordability calculations</w:t>
      </w:r>
      <w:bookmarkEnd w:id="192"/>
      <w:bookmarkEnd w:id="193"/>
    </w:p>
    <w:bookmarkEnd w:id="194"/>
    <w:p w14:paraId="1CC8C97C" w14:textId="77777777" w:rsidR="00201C53" w:rsidRPr="009E1BB6" w:rsidRDefault="00201C53" w:rsidP="00252C91">
      <w:pPr>
        <w:pStyle w:val="AppendixText"/>
        <w:jc w:val="both"/>
        <w:rPr>
          <w:bCs/>
        </w:rPr>
      </w:pPr>
      <w:r w:rsidRPr="009E1BB6">
        <w:t>This section outlines how the affordability thresholds discussed in the Affordability and Affordable Housing have been calculated.</w:t>
      </w:r>
    </w:p>
    <w:p w14:paraId="5DE64AE6" w14:textId="77777777" w:rsidR="00201C53" w:rsidRPr="009E1BB6" w:rsidRDefault="00201C53" w:rsidP="00252C91">
      <w:pPr>
        <w:pStyle w:val="Appendixheading2"/>
        <w:jc w:val="both"/>
        <w:rPr>
          <w:color w:val="auto"/>
        </w:rPr>
      </w:pPr>
      <w:r w:rsidRPr="009E1BB6">
        <w:rPr>
          <w:color w:val="auto"/>
        </w:rPr>
        <w:t>Market housing</w:t>
      </w:r>
      <w:bookmarkEnd w:id="185"/>
      <w:bookmarkEnd w:id="186"/>
      <w:bookmarkEnd w:id="187"/>
    </w:p>
    <w:p w14:paraId="66D443E0" w14:textId="77777777" w:rsidR="00201C53" w:rsidRPr="009E1BB6" w:rsidRDefault="00201C53" w:rsidP="00252C91">
      <w:pPr>
        <w:pStyle w:val="AppendixText"/>
        <w:jc w:val="both"/>
        <w:rPr>
          <w:bCs/>
        </w:rPr>
      </w:pPr>
      <w:r w:rsidRPr="009E1BB6">
        <w:t xml:space="preserve">Market housing is not subsidised and tends to be primarily accessible to people on higher incomes. </w:t>
      </w:r>
    </w:p>
    <w:p w14:paraId="783CDEE9" w14:textId="77777777" w:rsidR="00201C53" w:rsidRPr="009E1BB6" w:rsidRDefault="00201C53" w:rsidP="00252C91">
      <w:pPr>
        <w:pStyle w:val="Appendix3"/>
        <w:jc w:val="both"/>
        <w:rPr>
          <w:color w:val="auto"/>
        </w:rPr>
      </w:pPr>
      <w:bookmarkStart w:id="195" w:name="_Toc2690293"/>
      <w:bookmarkStart w:id="196" w:name="_Toc31722704"/>
      <w:bookmarkStart w:id="197" w:name="_Toc102731921"/>
      <w:r w:rsidRPr="009E1BB6">
        <w:rPr>
          <w:color w:val="auto"/>
        </w:rPr>
        <w:t>Market sales</w:t>
      </w:r>
      <w:bookmarkEnd w:id="195"/>
      <w:bookmarkEnd w:id="196"/>
      <w:bookmarkEnd w:id="197"/>
    </w:p>
    <w:p w14:paraId="5240781F" w14:textId="77777777" w:rsidR="00201C53" w:rsidRPr="009E1BB6" w:rsidRDefault="00201C53" w:rsidP="00252C91">
      <w:pPr>
        <w:pStyle w:val="AppendixText"/>
        <w:jc w:val="both"/>
        <w:rPr>
          <w:bCs/>
        </w:rPr>
      </w:pPr>
      <w:r w:rsidRPr="009E1BB6">
        <w:t>The starting point for calculating the affordability of a dwelling for sale from the perspective of a specific household is the loan to income ratio which most mortgage companies are prepared to agree. This ratio is conservatively estimated to be 3.5. In practice this can be highly variable. Multipliers up to 4.5 or even above 5 times income increasingly available, although the actual average in practice tends to be lower, particularly where applicants are dual earning. The Financial Conduct Authority uses 3.5 or more as its standard assumption for single applicants and 2.75 or more for dual applicants.</w:t>
      </w:r>
    </w:p>
    <w:p w14:paraId="0E4D1142" w14:textId="01C76540" w:rsidR="00201C53" w:rsidRPr="009E1BB6" w:rsidRDefault="00201C53" w:rsidP="00252C91">
      <w:pPr>
        <w:pStyle w:val="AppendixText"/>
        <w:jc w:val="both"/>
        <w:rPr>
          <w:bCs/>
        </w:rPr>
      </w:pPr>
      <w:r w:rsidRPr="009E1BB6">
        <w:t xml:space="preserve">To produce a more accurate assessment of affordability, the savings required for a deposit should be </w:t>
      </w:r>
      <w:proofErr w:type="gramStart"/>
      <w:r w:rsidRPr="009E1BB6">
        <w:t>taken into account</w:t>
      </w:r>
      <w:proofErr w:type="gramEnd"/>
      <w:r w:rsidRPr="009E1BB6">
        <w:t xml:space="preserve"> in addition to the costs of servicing a mortgage. However, </w:t>
      </w:r>
      <w:r w:rsidRPr="00C24B32">
        <w:t xml:space="preserve">unlike for incomes, data is not available for the savings available to households in </w:t>
      </w:r>
      <w:r w:rsidR="00D143F2" w:rsidRPr="00C24B32">
        <w:t>Consett</w:t>
      </w:r>
      <w:r w:rsidRPr="00C24B32">
        <w:t>, and the precise deposit a mortgage provider will require of any buyer will be determined by their individual circumstances and the state of the mortgage market. An</w:t>
      </w:r>
      <w:r w:rsidRPr="009E1BB6">
        <w:t xml:space="preserve"> assumption is therefore made that a 10% purchase deposit is required and is available to the prospective buyer. </w:t>
      </w:r>
      <w:proofErr w:type="gramStart"/>
      <w:r w:rsidRPr="009E1BB6">
        <w:t>In reality it</w:t>
      </w:r>
      <w:proofErr w:type="gramEnd"/>
      <w:r w:rsidRPr="009E1BB6">
        <w:t xml:space="preserve"> is possible that the cost of the deposit is a greater barrier to home ownership than the mortgage costs.</w:t>
      </w:r>
    </w:p>
    <w:p w14:paraId="3D9BDC34" w14:textId="77777777" w:rsidR="00201C53" w:rsidRPr="009E1BB6" w:rsidRDefault="00201C53" w:rsidP="00252C91">
      <w:pPr>
        <w:pStyle w:val="AppendixText"/>
        <w:jc w:val="both"/>
        <w:rPr>
          <w:bCs/>
        </w:rPr>
      </w:pPr>
      <w:r w:rsidRPr="009E1BB6">
        <w:t>The calculation for the purchase threshold for market housing is as follows:</w:t>
      </w:r>
    </w:p>
    <w:p w14:paraId="1F5B9ED2" w14:textId="080F4754" w:rsidR="00201C53" w:rsidRPr="009E1BB6" w:rsidRDefault="00201C53" w:rsidP="00252C91">
      <w:pPr>
        <w:pStyle w:val="ListBullet"/>
        <w:jc w:val="both"/>
      </w:pPr>
      <w:r w:rsidRPr="009E1BB6">
        <w:t xml:space="preserve">Value of a median NA house price (2023) = </w:t>
      </w:r>
      <w:proofErr w:type="gramStart"/>
      <w:r w:rsidRPr="009E1BB6">
        <w:t>£</w:t>
      </w:r>
      <w:r w:rsidR="00562E5B">
        <w:t>128</w:t>
      </w:r>
      <w:r w:rsidR="00900FA7">
        <w:t>,000</w:t>
      </w:r>
      <w:r w:rsidRPr="009E1BB6">
        <w:t>;</w:t>
      </w:r>
      <w:proofErr w:type="gramEnd"/>
    </w:p>
    <w:p w14:paraId="18E88F4B" w14:textId="4A8DD6B4" w:rsidR="00201C53" w:rsidRPr="009E1BB6" w:rsidRDefault="00201C53" w:rsidP="00252C91">
      <w:pPr>
        <w:pStyle w:val="ListBullet"/>
        <w:jc w:val="both"/>
      </w:pPr>
      <w:r w:rsidRPr="009E1BB6">
        <w:t xml:space="preserve">Purchase deposit at 10% of value = </w:t>
      </w:r>
      <w:proofErr w:type="gramStart"/>
      <w:r w:rsidRPr="009E1BB6">
        <w:t>£</w:t>
      </w:r>
      <w:r w:rsidR="0019268A">
        <w:t>12,800</w:t>
      </w:r>
      <w:r w:rsidRPr="009E1BB6">
        <w:t>;</w:t>
      </w:r>
      <w:proofErr w:type="gramEnd"/>
    </w:p>
    <w:p w14:paraId="2CCE0225" w14:textId="75A4C32A" w:rsidR="00201C53" w:rsidRPr="009E1BB6" w:rsidRDefault="00201C53" w:rsidP="00252C91">
      <w:pPr>
        <w:pStyle w:val="ListBullet"/>
        <w:jc w:val="both"/>
      </w:pPr>
      <w:r w:rsidRPr="009E1BB6">
        <w:t xml:space="preserve">Value of dwelling for mortgage purposes = </w:t>
      </w:r>
      <w:proofErr w:type="gramStart"/>
      <w:r w:rsidRPr="009E1BB6">
        <w:t>£</w:t>
      </w:r>
      <w:r w:rsidR="0019268A">
        <w:t>115</w:t>
      </w:r>
      <w:r w:rsidR="006A12EF">
        <w:t>,200</w:t>
      </w:r>
      <w:r w:rsidRPr="009E1BB6">
        <w:t>;</w:t>
      </w:r>
      <w:proofErr w:type="gramEnd"/>
    </w:p>
    <w:p w14:paraId="76350D5F" w14:textId="7AFFA003" w:rsidR="00201C53" w:rsidRPr="009E1BB6" w:rsidRDefault="00201C53" w:rsidP="00252C91">
      <w:pPr>
        <w:pStyle w:val="ListBullet"/>
        <w:jc w:val="both"/>
        <w:rPr>
          <w:b/>
        </w:rPr>
      </w:pPr>
      <w:r w:rsidRPr="009E1BB6">
        <w:t xml:space="preserve">Divided by loan to income ratio of 3.5 = purchase threshold of </w:t>
      </w:r>
      <w:r w:rsidRPr="009E1BB6">
        <w:rPr>
          <w:bCs/>
        </w:rPr>
        <w:t>£</w:t>
      </w:r>
      <w:r w:rsidR="006A12EF">
        <w:rPr>
          <w:bCs/>
        </w:rPr>
        <w:t>32,000</w:t>
      </w:r>
      <w:r w:rsidRPr="009E1BB6">
        <w:rPr>
          <w:bCs/>
        </w:rPr>
        <w:t>.</w:t>
      </w:r>
    </w:p>
    <w:p w14:paraId="6C4EDDBC" w14:textId="70D165C9" w:rsidR="00201C53" w:rsidRPr="009E1BB6" w:rsidRDefault="00201C53" w:rsidP="00252C91">
      <w:pPr>
        <w:pStyle w:val="AppendixText"/>
        <w:jc w:val="both"/>
        <w:rPr>
          <w:bCs/>
        </w:rPr>
      </w:pPr>
      <w:r w:rsidRPr="009E1BB6">
        <w:t>The purchase threshold for an entry-level dwelling is a better representation of affordability to those with lower incomes or savings, such as first-time buyers. To determine this threshold, the same calculation is repeated but with reference to the lower quartile rather than the median house price. The lower quartile average in 2023 was £</w:t>
      </w:r>
      <w:r w:rsidR="006A12EF">
        <w:t>84,000</w:t>
      </w:r>
      <w:r w:rsidRPr="009E1BB6">
        <w:t>, and the purchase threshold is therefore £</w:t>
      </w:r>
      <w:r w:rsidR="008045C8">
        <w:t>21,600</w:t>
      </w:r>
      <w:r w:rsidRPr="009E1BB6">
        <w:t>.</w:t>
      </w:r>
    </w:p>
    <w:p w14:paraId="7C856204" w14:textId="77777777" w:rsidR="00DA40F2" w:rsidRPr="00DA40F2" w:rsidRDefault="00201C53" w:rsidP="00252C91">
      <w:pPr>
        <w:pStyle w:val="AppendixText"/>
        <w:jc w:val="both"/>
        <w:rPr>
          <w:bCs/>
        </w:rPr>
      </w:pPr>
      <w:r w:rsidRPr="009E1BB6">
        <w:t xml:space="preserve">It is also worth assessing the purchase threshold for new build homes, since this most closely represents the cost of the new housing that will come forward in future. Land Registry records </w:t>
      </w:r>
      <w:r w:rsidR="00C552BA">
        <w:t>21</w:t>
      </w:r>
      <w:r w:rsidRPr="009E1BB6">
        <w:t xml:space="preserve"> sales of new build properties in the NA in 202</w:t>
      </w:r>
      <w:r w:rsidR="00DA40F2">
        <w:t>3</w:t>
      </w:r>
      <w:r w:rsidR="00C552BA">
        <w:t xml:space="preserve">, with these sales having a median value of </w:t>
      </w:r>
      <w:r w:rsidR="00DA40F2">
        <w:t>£235,000</w:t>
      </w:r>
      <w:r w:rsidRPr="009E1BB6">
        <w:t xml:space="preserve">. </w:t>
      </w:r>
    </w:p>
    <w:p w14:paraId="289D689D" w14:textId="54801FBA" w:rsidR="00201C53" w:rsidRPr="00DA40F2" w:rsidRDefault="00201C53" w:rsidP="00DA40F2">
      <w:pPr>
        <w:pStyle w:val="AppendixText"/>
        <w:ind w:left="851" w:hanging="851"/>
        <w:jc w:val="both"/>
        <w:rPr>
          <w:bCs/>
        </w:rPr>
      </w:pPr>
      <w:r w:rsidRPr="009E1BB6">
        <w:lastRenderedPageBreak/>
        <w:t>It is, however, important to understand the likely cost of new housing because new housing is where the Neighbourhood Plan has most influence and is the appropriate benchmark for understanding the costs of affordable home ownership tenures (considered below).</w:t>
      </w:r>
      <w:r w:rsidR="003521C7">
        <w:t xml:space="preserve"> The new build median value is made up of </w:t>
      </w:r>
      <w:r w:rsidR="009053BA">
        <w:t>sales of only detached and semi-detached dwellings</w:t>
      </w:r>
      <w:r w:rsidR="007933BB">
        <w:t xml:space="preserve">, </w:t>
      </w:r>
      <w:r w:rsidR="000B5FF6">
        <w:t>which</w:t>
      </w:r>
      <w:r w:rsidR="007933BB">
        <w:t xml:space="preserve"> would be inappropriate to use </w:t>
      </w:r>
      <w:r w:rsidR="000B5FF6">
        <w:t>as an estimate of the</w:t>
      </w:r>
      <w:r w:rsidR="007933BB">
        <w:t xml:space="preserve"> cost of new affordable home ownership</w:t>
      </w:r>
      <w:r w:rsidR="000B5FF6">
        <w:t xml:space="preserve">. This is because these homes tend to be </w:t>
      </w:r>
      <w:r w:rsidR="00565B9C">
        <w:t xml:space="preserve">larger and </w:t>
      </w:r>
      <w:r w:rsidR="000B5FF6">
        <w:t xml:space="preserve">offered at the </w:t>
      </w:r>
      <w:r w:rsidR="00565B9C">
        <w:t>top end of the market, th</w:t>
      </w:r>
      <w:r w:rsidR="001F13D9">
        <w:t>is</w:t>
      </w:r>
      <w:r w:rsidR="00932EBB">
        <w:t xml:space="preserve"> new build</w:t>
      </w:r>
      <w:r w:rsidR="001F13D9">
        <w:t xml:space="preserve"> median cost is also almost double </w:t>
      </w:r>
      <w:r w:rsidR="00932EBB">
        <w:t xml:space="preserve">the cost of </w:t>
      </w:r>
      <w:r w:rsidR="00147247">
        <w:t>the overall median house price</w:t>
      </w:r>
      <w:r w:rsidR="00B8597D">
        <w:t>.</w:t>
      </w:r>
      <w:r w:rsidR="00147247">
        <w:t xml:space="preserve"> </w:t>
      </w:r>
    </w:p>
    <w:p w14:paraId="288828AF" w14:textId="39CD7416" w:rsidR="00E24DC8" w:rsidRPr="00CC49FC" w:rsidRDefault="00BA7938" w:rsidP="00252C91">
      <w:pPr>
        <w:pStyle w:val="AppendixText"/>
        <w:jc w:val="both"/>
        <w:rPr>
          <w:bCs/>
        </w:rPr>
      </w:pPr>
      <w:r w:rsidRPr="009E1BB6">
        <w:t>Therefore,</w:t>
      </w:r>
      <w:r w:rsidR="00201C53" w:rsidRPr="009E1BB6">
        <w:t xml:space="preserve"> an estimate has </w:t>
      </w:r>
      <w:r w:rsidR="00201C53" w:rsidRPr="00CC49FC">
        <w:t xml:space="preserve">been calculated by determining the uplift between all house prices in 2023 across </w:t>
      </w:r>
      <w:r w:rsidR="00DC6F3A" w:rsidRPr="00CC49FC">
        <w:t>Durham</w:t>
      </w:r>
      <w:r w:rsidR="00DA40F2" w:rsidRPr="00CC49FC">
        <w:t xml:space="preserve"> </w:t>
      </w:r>
      <w:r w:rsidR="00201C53" w:rsidRPr="00CC49FC">
        <w:t>and new build house prices in 2023 in the same area. This percentage uplift (or ‘new build premium’</w:t>
      </w:r>
      <w:r w:rsidRPr="00CC49FC">
        <w:t xml:space="preserve"> +45%</w:t>
      </w:r>
      <w:r w:rsidR="00201C53" w:rsidRPr="00CC49FC">
        <w:t xml:space="preserve">) is then applied to the 2023 </w:t>
      </w:r>
      <w:r w:rsidR="00C24B32">
        <w:t>median</w:t>
      </w:r>
      <w:r w:rsidR="00201C53" w:rsidRPr="00CC49FC">
        <w:t xml:space="preserve"> house price in the NA to give an estimated NA new build entry-level house price of £</w:t>
      </w:r>
      <w:r w:rsidRPr="00CC49FC">
        <w:t>184,900</w:t>
      </w:r>
      <w:r w:rsidR="00201C53" w:rsidRPr="00CC49FC">
        <w:t xml:space="preserve"> and purchase threshold of £</w:t>
      </w:r>
      <w:r w:rsidR="007C4FC0" w:rsidRPr="00CC49FC">
        <w:t>47,600</w:t>
      </w:r>
      <w:r w:rsidR="00201C53" w:rsidRPr="00CC49FC">
        <w:t xml:space="preserve">. </w:t>
      </w:r>
    </w:p>
    <w:p w14:paraId="39C3177E" w14:textId="4E6FE1AF" w:rsidR="00201C53" w:rsidRPr="00CC49FC" w:rsidRDefault="003D6BD2" w:rsidP="00252C91">
      <w:pPr>
        <w:pStyle w:val="AppendixText"/>
        <w:jc w:val="both"/>
        <w:rPr>
          <w:bCs/>
        </w:rPr>
      </w:pPr>
      <w:r w:rsidRPr="00CC49FC">
        <w:t xml:space="preserve">It should be noted this new build uplift is derived from the price of terraced dwellings, if the </w:t>
      </w:r>
      <w:r w:rsidR="002B4D6E" w:rsidRPr="00CC49FC">
        <w:t xml:space="preserve">uplift </w:t>
      </w:r>
      <w:r w:rsidR="008D426F" w:rsidRPr="00CC49FC">
        <w:t xml:space="preserve">value was taken from the price of detached and semi-detached dwellings </w:t>
      </w:r>
      <w:r w:rsidR="00E24DC8" w:rsidRPr="00CC49FC">
        <w:t xml:space="preserve">it would be much lower (+15%). However, </w:t>
      </w:r>
      <w:r w:rsidR="00F53BA2">
        <w:t xml:space="preserve">this uplift to either median or lower quartile </w:t>
      </w:r>
      <w:r w:rsidR="00A62817">
        <w:t>prices</w:t>
      </w:r>
      <w:r w:rsidR="00410864" w:rsidRPr="00CC49FC">
        <w:t xml:space="preserve"> would pr</w:t>
      </w:r>
      <w:r w:rsidR="008A4F18" w:rsidRPr="00CC49FC">
        <w:t>esent</w:t>
      </w:r>
      <w:r w:rsidR="00410864" w:rsidRPr="00CC49FC">
        <w:t xml:space="preserve"> an unrealistic </w:t>
      </w:r>
      <w:r w:rsidR="008A4F18" w:rsidRPr="00CC49FC">
        <w:t xml:space="preserve">picture of affordable housing given the difficulty in delivering affordable housing at this price point, when accounting for viability constraints and build costs (see </w:t>
      </w:r>
      <w:r w:rsidR="00A62817">
        <w:t>paragraph C.33</w:t>
      </w:r>
      <w:r w:rsidR="008A4F18" w:rsidRPr="00CC49FC">
        <w:t xml:space="preserve"> below). </w:t>
      </w:r>
    </w:p>
    <w:p w14:paraId="348D0E1E" w14:textId="50C6A1EA" w:rsidR="00201C53" w:rsidRPr="009E1BB6" w:rsidRDefault="00201C53" w:rsidP="00252C91">
      <w:pPr>
        <w:pStyle w:val="AppendixText"/>
        <w:jc w:val="both"/>
        <w:rPr>
          <w:bCs/>
        </w:rPr>
      </w:pPr>
      <w:proofErr w:type="gramStart"/>
      <w:r w:rsidRPr="00CC49FC">
        <w:t>In order to</w:t>
      </w:r>
      <w:proofErr w:type="gramEnd"/>
      <w:r w:rsidRPr="00CC49FC">
        <w:t xml:space="preserve"> provide a comparison with the wider local authority area, it is helpful to also look at the cost of new build housing across </w:t>
      </w:r>
      <w:r w:rsidR="00DC6F3A" w:rsidRPr="00CC49FC">
        <w:t>Durham</w:t>
      </w:r>
      <w:r w:rsidR="00BA7938" w:rsidRPr="00CC49FC">
        <w:t xml:space="preserve"> </w:t>
      </w:r>
      <w:r w:rsidRPr="00CC49FC">
        <w:t xml:space="preserve">in 2023. The median cost of new build dwellings in </w:t>
      </w:r>
      <w:r w:rsidR="00DC6F3A" w:rsidRPr="00CC49FC">
        <w:t>Durham</w:t>
      </w:r>
      <w:r w:rsidR="00BA7938" w:rsidRPr="00CC49FC">
        <w:t xml:space="preserve"> </w:t>
      </w:r>
      <w:r w:rsidRPr="00CC49FC">
        <w:t>was £</w:t>
      </w:r>
      <w:r w:rsidR="00AE7A2E" w:rsidRPr="00CC49FC">
        <w:t>213,750</w:t>
      </w:r>
      <w:r w:rsidRPr="00CC49FC">
        <w:t>, with a purchase threshold of £</w:t>
      </w:r>
      <w:r w:rsidR="00CC49FC" w:rsidRPr="00CC49FC">
        <w:t>55,000</w:t>
      </w:r>
      <w:r w:rsidRPr="009E1BB6">
        <w:t xml:space="preserve">. </w:t>
      </w:r>
    </w:p>
    <w:p w14:paraId="58579FF7" w14:textId="77777777" w:rsidR="00201C53" w:rsidRPr="009E1BB6" w:rsidRDefault="00201C53" w:rsidP="00252C91">
      <w:pPr>
        <w:pStyle w:val="Appendix3"/>
        <w:jc w:val="both"/>
        <w:rPr>
          <w:color w:val="auto"/>
        </w:rPr>
      </w:pPr>
      <w:bookmarkStart w:id="198" w:name="_Toc2690294"/>
      <w:bookmarkStart w:id="199" w:name="_Toc31722705"/>
      <w:bookmarkStart w:id="200" w:name="_Toc102731922"/>
      <w:r w:rsidRPr="009E1BB6">
        <w:rPr>
          <w:color w:val="auto"/>
        </w:rPr>
        <w:t>Private Rented Sector (PRS)</w:t>
      </w:r>
      <w:bookmarkEnd w:id="198"/>
      <w:bookmarkEnd w:id="199"/>
      <w:bookmarkEnd w:id="200"/>
    </w:p>
    <w:p w14:paraId="34A0AA16" w14:textId="77777777" w:rsidR="00201C53" w:rsidRPr="009E1BB6" w:rsidRDefault="00201C53" w:rsidP="00252C91">
      <w:pPr>
        <w:pStyle w:val="AppendixText"/>
        <w:jc w:val="both"/>
        <w:rPr>
          <w:bCs/>
        </w:rPr>
      </w:pPr>
      <w:r w:rsidRPr="009E1BB6">
        <w:t xml:space="preserve">It is assumed here that rented housing is affordable if the annual rent does not exceed 30% of the household’s gross annual income. The percentage of income to be spent on rent before the property is considered affordable varies considerably for individuals, and it is increasingly common for households to dedicate a larger proportion of their earnings to rent. When considering </w:t>
      </w:r>
      <w:proofErr w:type="gramStart"/>
      <w:r w:rsidRPr="009E1BB6">
        <w:t>affordability</w:t>
      </w:r>
      <w:proofErr w:type="gramEnd"/>
      <w:r w:rsidRPr="009E1BB6">
        <w:t xml:space="preserve"> it is considered good practice to be conservative, and the 30% benchmark is used as ONS’s current standard assumption. </w:t>
      </w:r>
    </w:p>
    <w:p w14:paraId="12A9E24A" w14:textId="77777777" w:rsidR="00201C53" w:rsidRPr="009E1BB6" w:rsidRDefault="00201C53" w:rsidP="00252C91">
      <w:pPr>
        <w:pStyle w:val="AppendixText"/>
        <w:jc w:val="both"/>
        <w:rPr>
          <w:bCs/>
        </w:rPr>
      </w:pPr>
      <w:r w:rsidRPr="009E1BB6">
        <w:t>This is an important assumption because it is possible that a household will be able to afford tenures that are deemed not affordable in this report if they are willing or able to dedicate a higher proportion of their income to housing costs. It is becoming increasingly necessary for households to do so. However, for the purpose of planning it is considered more appropriate to use this conservative lower benchmark for affordability on the understanding that additional households may be willing or able to access housing this way than to use a higher benchmark which assumes that all households can afford to do so when their individual circumstances may well prevent it.</w:t>
      </w:r>
    </w:p>
    <w:p w14:paraId="1A5AF1A0" w14:textId="7E34F730" w:rsidR="00201C53" w:rsidRPr="009E1BB6" w:rsidRDefault="00201C53" w:rsidP="00252C91">
      <w:pPr>
        <w:pStyle w:val="AppendixText"/>
        <w:jc w:val="both"/>
        <w:rPr>
          <w:bCs/>
        </w:rPr>
      </w:pPr>
      <w:r w:rsidRPr="009E1BB6">
        <w:t xml:space="preserve">The property website </w:t>
      </w:r>
      <w:hyperlink r:id="rId32" w:history="1">
        <w:r w:rsidRPr="009E1BB6">
          <w:t>Home.co.uk</w:t>
        </w:r>
      </w:hyperlink>
      <w:r w:rsidRPr="009E1BB6">
        <w:t xml:space="preserve"> shows rental values for property in the Neighbourhood Area. The best available data is derived from properties available for rent within the </w:t>
      </w:r>
      <w:r w:rsidR="002F74C7">
        <w:t xml:space="preserve">DH8 </w:t>
      </w:r>
      <w:r w:rsidRPr="009E1BB6">
        <w:t xml:space="preserve">postcode area, which covers a larger area than the Plan area itself </w:t>
      </w:r>
      <w:r w:rsidRPr="009E1BB6">
        <w:lastRenderedPageBreak/>
        <w:t>but can be used as a reasonable proxy for it. Moreover, because it forms a larger geography with a greater number of rental properties offered, the larger sample size is likely to generate more robust findings.</w:t>
      </w:r>
    </w:p>
    <w:p w14:paraId="0D1CFBC2" w14:textId="712C19DA" w:rsidR="00201C53" w:rsidRPr="009E1BB6" w:rsidRDefault="00201C53" w:rsidP="00252C91">
      <w:pPr>
        <w:pStyle w:val="AppendixText"/>
        <w:jc w:val="both"/>
        <w:rPr>
          <w:bCs/>
        </w:rPr>
      </w:pPr>
      <w:r w:rsidRPr="009E1BB6">
        <w:t xml:space="preserve">According to </w:t>
      </w:r>
      <w:hyperlink r:id="rId33" w:history="1">
        <w:r w:rsidRPr="009E1BB6">
          <w:t>home.co.uk</w:t>
        </w:r>
      </w:hyperlink>
      <w:r w:rsidRPr="009E1BB6">
        <w:t xml:space="preserve">, there were </w:t>
      </w:r>
      <w:r w:rsidR="00001667">
        <w:t>53</w:t>
      </w:r>
      <w:r w:rsidRPr="009E1BB6">
        <w:t xml:space="preserve"> properties for rent at the time of search in </w:t>
      </w:r>
      <w:proofErr w:type="gramStart"/>
      <w:r w:rsidR="00001667">
        <w:t>November,</w:t>
      </w:r>
      <w:proofErr w:type="gramEnd"/>
      <w:r w:rsidR="00001667">
        <w:t xml:space="preserve"> 2014,</w:t>
      </w:r>
      <w:r w:rsidRPr="009E1BB6">
        <w:t xml:space="preserve"> with an average monthly rent of </w:t>
      </w:r>
      <w:r w:rsidR="00001667">
        <w:t>£910</w:t>
      </w:r>
      <w:r w:rsidRPr="009E1BB6">
        <w:t xml:space="preserve">. There were </w:t>
      </w:r>
      <w:r w:rsidR="00001667">
        <w:t>29</w:t>
      </w:r>
      <w:r w:rsidRPr="009E1BB6">
        <w:t xml:space="preserve"> two-bed properties listed, with an average price of </w:t>
      </w:r>
      <w:r w:rsidR="00001667">
        <w:t xml:space="preserve">£610 </w:t>
      </w:r>
      <w:r w:rsidRPr="009E1BB6">
        <w:t>per calendar month.</w:t>
      </w:r>
    </w:p>
    <w:p w14:paraId="2BF3054A" w14:textId="77777777" w:rsidR="00201C53" w:rsidRPr="009E1BB6" w:rsidRDefault="00201C53" w:rsidP="00252C91">
      <w:pPr>
        <w:pStyle w:val="AppendixText"/>
        <w:jc w:val="both"/>
        <w:rPr>
          <w:bCs/>
        </w:rPr>
      </w:pPr>
      <w:r w:rsidRPr="009E1BB6">
        <w:t>The calculation for the private rent income threshold for entry-level (2 bedroom) dwellings is as follows:</w:t>
      </w:r>
    </w:p>
    <w:p w14:paraId="251EAA1F" w14:textId="2E2C61E9" w:rsidR="00201C53" w:rsidRPr="009E1BB6" w:rsidRDefault="00201C53" w:rsidP="00252C91">
      <w:pPr>
        <w:pStyle w:val="ListBullet"/>
        <w:jc w:val="both"/>
      </w:pPr>
      <w:r w:rsidRPr="009E1BB6">
        <w:t>Annual rent = £</w:t>
      </w:r>
      <w:r w:rsidR="00001667">
        <w:t xml:space="preserve">610 </w:t>
      </w:r>
      <w:r w:rsidRPr="009E1BB6">
        <w:t xml:space="preserve">x 12 = </w:t>
      </w:r>
      <w:proofErr w:type="gramStart"/>
      <w:r w:rsidRPr="009E1BB6">
        <w:t>£</w:t>
      </w:r>
      <w:r w:rsidR="00001667">
        <w:t>7,</w:t>
      </w:r>
      <w:r w:rsidR="00212643">
        <w:t>320</w:t>
      </w:r>
      <w:r w:rsidRPr="009E1BB6">
        <w:t>;</w:t>
      </w:r>
      <w:proofErr w:type="gramEnd"/>
    </w:p>
    <w:p w14:paraId="2471309E" w14:textId="7DA73D4B" w:rsidR="00201C53" w:rsidRPr="009E1BB6" w:rsidRDefault="00201C53" w:rsidP="00252C91">
      <w:pPr>
        <w:pStyle w:val="ListBullet"/>
        <w:jc w:val="both"/>
      </w:pPr>
      <w:r w:rsidRPr="009E1BB6">
        <w:t>Multiplied by 3.33 (so that no more than 30% of income is spent on rent) = income threshold of £</w:t>
      </w:r>
      <w:r w:rsidR="00212643">
        <w:t>24,400</w:t>
      </w:r>
      <w:r w:rsidRPr="009E1BB6">
        <w:t>.</w:t>
      </w:r>
    </w:p>
    <w:p w14:paraId="2562F092" w14:textId="1E461172" w:rsidR="00201C53" w:rsidRPr="009E1BB6" w:rsidRDefault="00201C53" w:rsidP="00252C91">
      <w:pPr>
        <w:pStyle w:val="AppendixText"/>
        <w:jc w:val="both"/>
        <w:rPr>
          <w:bCs/>
        </w:rPr>
      </w:pPr>
      <w:r w:rsidRPr="009E1BB6">
        <w:t>The calculation is repeated for the overall average to give an income threshold of £</w:t>
      </w:r>
      <w:r w:rsidR="00212643">
        <w:t>36,400</w:t>
      </w:r>
      <w:r w:rsidRPr="009E1BB6">
        <w:t>.</w:t>
      </w:r>
    </w:p>
    <w:p w14:paraId="5FB3DC57" w14:textId="77777777" w:rsidR="00201C53" w:rsidRPr="009E1BB6" w:rsidRDefault="00201C53" w:rsidP="00252C91">
      <w:pPr>
        <w:pStyle w:val="Appendixheading2"/>
        <w:jc w:val="both"/>
        <w:rPr>
          <w:color w:val="auto"/>
        </w:rPr>
      </w:pPr>
      <w:bookmarkStart w:id="201" w:name="_Toc521492005"/>
      <w:bookmarkStart w:id="202" w:name="_Toc536797460"/>
      <w:bookmarkStart w:id="203" w:name="_Toc2690295"/>
      <w:bookmarkStart w:id="204" w:name="_Toc31722706"/>
      <w:bookmarkStart w:id="205" w:name="_Toc102731923"/>
      <w:r w:rsidRPr="009E1BB6">
        <w:rPr>
          <w:color w:val="auto"/>
        </w:rPr>
        <w:t>Affordable Housing</w:t>
      </w:r>
      <w:bookmarkEnd w:id="201"/>
      <w:bookmarkEnd w:id="202"/>
      <w:bookmarkEnd w:id="203"/>
      <w:bookmarkEnd w:id="204"/>
      <w:bookmarkEnd w:id="205"/>
    </w:p>
    <w:p w14:paraId="1218E481" w14:textId="77777777" w:rsidR="00201C53" w:rsidRPr="009E1BB6" w:rsidRDefault="00201C53" w:rsidP="00252C91">
      <w:pPr>
        <w:pStyle w:val="AppendixText"/>
        <w:jc w:val="both"/>
        <w:rPr>
          <w:bCs/>
        </w:rPr>
      </w:pPr>
      <w:r w:rsidRPr="009E1BB6">
        <w:t>There are a range of tenures that constitute the definition of Affordable Housing within the NPPF 2023: social rent and affordable rent, discounted market sales housing, and other affordable routes to home ownership. The new First Homes was introduced in 2021 but is not yet included in the NPPF. Each of the affordable housing tenures are considered below.</w:t>
      </w:r>
    </w:p>
    <w:p w14:paraId="6002D5BE" w14:textId="77777777" w:rsidR="00201C53" w:rsidRPr="009E1BB6" w:rsidRDefault="00201C53" w:rsidP="00252C91">
      <w:pPr>
        <w:pStyle w:val="Appendix3"/>
        <w:jc w:val="both"/>
        <w:rPr>
          <w:color w:val="auto"/>
        </w:rPr>
      </w:pPr>
      <w:bookmarkStart w:id="206" w:name="_Toc2690296"/>
      <w:bookmarkStart w:id="207" w:name="_Toc31722707"/>
      <w:bookmarkStart w:id="208" w:name="_Toc102731924"/>
      <w:r w:rsidRPr="009E1BB6">
        <w:rPr>
          <w:color w:val="auto"/>
        </w:rPr>
        <w:t>Social rent</w:t>
      </w:r>
      <w:bookmarkEnd w:id="206"/>
      <w:bookmarkEnd w:id="207"/>
      <w:bookmarkEnd w:id="208"/>
    </w:p>
    <w:p w14:paraId="67CED2A8" w14:textId="77777777" w:rsidR="00201C53" w:rsidRPr="009E1BB6" w:rsidRDefault="00201C53" w:rsidP="00252C91">
      <w:pPr>
        <w:pStyle w:val="AppendixText"/>
        <w:jc w:val="both"/>
        <w:rPr>
          <w:bCs/>
        </w:rPr>
      </w:pPr>
      <w:r w:rsidRPr="009E1BB6">
        <w:t xml:space="preserve">Rents in socially rented properties reflect a formula based on property values and average earnings in each area, resulting in substantial discounts to market rents. As such, this tenure is suitable for the needs of those on the lowest incomes and is subject to strict eligibility criteria. </w:t>
      </w:r>
    </w:p>
    <w:p w14:paraId="047461CF" w14:textId="01180960" w:rsidR="00201C53" w:rsidRPr="009E1BB6" w:rsidRDefault="00201C53" w:rsidP="00252C91">
      <w:pPr>
        <w:pStyle w:val="AppendixText"/>
        <w:jc w:val="both"/>
        <w:rPr>
          <w:bCs/>
        </w:rPr>
      </w:pPr>
      <w:r w:rsidRPr="009E1BB6">
        <w:t xml:space="preserve">To determine </w:t>
      </w:r>
      <w:r w:rsidRPr="00212643">
        <w:t xml:space="preserve">social rent levels, 2021 data and statistical return from Homes England is used. This data is only available at Local Authority scale so must act as a proxy for </w:t>
      </w:r>
      <w:r w:rsidR="00D143F2" w:rsidRPr="00212643">
        <w:t>Consett</w:t>
      </w:r>
      <w:r w:rsidRPr="00212643">
        <w:t xml:space="preserve">. This data provides information about rents and the size and type of stock owned and managed by private registered providers and local authorities and is presented for </w:t>
      </w:r>
      <w:r w:rsidR="00DC6F3A" w:rsidRPr="00212643">
        <w:t>Durham</w:t>
      </w:r>
      <w:r w:rsidR="00212643" w:rsidRPr="00212643">
        <w:t xml:space="preserve"> </w:t>
      </w:r>
      <w:r w:rsidRPr="00212643">
        <w:t>in Table C-1.</w:t>
      </w:r>
      <w:r w:rsidRPr="009E1BB6">
        <w:t xml:space="preserve"> </w:t>
      </w:r>
      <w:bookmarkStart w:id="209" w:name="_Ref516840448"/>
    </w:p>
    <w:p w14:paraId="7FD8EF74" w14:textId="77777777" w:rsidR="00201C53" w:rsidRPr="00212643" w:rsidRDefault="00201C53" w:rsidP="00252C91">
      <w:pPr>
        <w:pStyle w:val="AppendixText"/>
        <w:jc w:val="both"/>
        <w:rPr>
          <w:bCs/>
        </w:rPr>
      </w:pPr>
      <w:r w:rsidRPr="009E1BB6">
        <w:t xml:space="preserve">To determine the income needed, it is assumed that no more than 30% of income should be spent on rent. This is an assumption only for what might generally make housing affordable or unaffordable – it is unrelated to the eligibility criteria of Affordable Housing policy at Local Authority level. The overall average across all property sizes is taken forward as the income threshold for social rent. </w:t>
      </w:r>
    </w:p>
    <w:p w14:paraId="4ACD7C76" w14:textId="77777777" w:rsidR="00212643" w:rsidRDefault="00212643" w:rsidP="00212643">
      <w:pPr>
        <w:pStyle w:val="AppendixText"/>
        <w:numPr>
          <w:ilvl w:val="0"/>
          <w:numId w:val="0"/>
        </w:numPr>
        <w:jc w:val="both"/>
      </w:pPr>
    </w:p>
    <w:p w14:paraId="3F823007" w14:textId="77777777" w:rsidR="00212643" w:rsidRPr="009E1BB6" w:rsidRDefault="00212643" w:rsidP="00212643">
      <w:pPr>
        <w:pStyle w:val="AppendixText"/>
        <w:numPr>
          <w:ilvl w:val="0"/>
          <w:numId w:val="0"/>
        </w:numPr>
        <w:jc w:val="both"/>
        <w:rPr>
          <w:bCs/>
        </w:rPr>
      </w:pPr>
    </w:p>
    <w:bookmarkEnd w:id="209"/>
    <w:p w14:paraId="40672A41" w14:textId="77777777" w:rsidR="00201C53" w:rsidRPr="009E1BB6" w:rsidRDefault="00201C53" w:rsidP="00252C91">
      <w:pPr>
        <w:pStyle w:val="Caption"/>
        <w:jc w:val="both"/>
        <w:rPr>
          <w:color w:val="auto"/>
        </w:rPr>
      </w:pPr>
      <w:r w:rsidRPr="009E1BB6">
        <w:rPr>
          <w:color w:val="auto"/>
        </w:rPr>
        <w:lastRenderedPageBreak/>
        <w:t>Table C-1: Social rent levels (£)</w:t>
      </w:r>
    </w:p>
    <w:tbl>
      <w:tblPr>
        <w:tblW w:w="5000" w:type="pct"/>
        <w:tblInd w:w="-5" w:type="dxa"/>
        <w:tblLayout w:type="fixed"/>
        <w:tblLook w:val="04A0" w:firstRow="1" w:lastRow="0" w:firstColumn="1" w:lastColumn="0" w:noHBand="0" w:noVBand="1"/>
      </w:tblPr>
      <w:tblGrid>
        <w:gridCol w:w="2648"/>
        <w:gridCol w:w="1438"/>
        <w:gridCol w:w="1436"/>
        <w:gridCol w:w="1436"/>
        <w:gridCol w:w="1436"/>
        <w:gridCol w:w="1430"/>
      </w:tblGrid>
      <w:tr w:rsidR="00201C53" w:rsidRPr="008D6BB7" w14:paraId="55E28B87" w14:textId="77777777" w:rsidTr="005D1CFE">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50CCD5DB" w14:textId="77777777" w:rsidR="00201C53" w:rsidRPr="008D6BB7" w:rsidRDefault="00201C53" w:rsidP="00252C91">
            <w:pPr>
              <w:spacing w:line="276" w:lineRule="auto"/>
              <w:jc w:val="both"/>
              <w:rPr>
                <w:b/>
                <w:color w:val="FFFFFF" w:themeColor="background1"/>
              </w:rPr>
            </w:pPr>
            <w:r w:rsidRPr="008D6BB7">
              <w:rPr>
                <w:b/>
                <w:color w:val="FFFFFF" w:themeColor="background1"/>
              </w:rPr>
              <w:t>Size</w:t>
            </w:r>
          </w:p>
        </w:tc>
        <w:tc>
          <w:tcPr>
            <w:tcW w:w="732"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5D350F05" w14:textId="77777777" w:rsidR="00201C53" w:rsidRPr="008D6BB7" w:rsidRDefault="00201C53" w:rsidP="00252C91">
            <w:pPr>
              <w:spacing w:line="276" w:lineRule="auto"/>
              <w:jc w:val="both"/>
              <w:rPr>
                <w:b/>
                <w:color w:val="FFFFFF" w:themeColor="background1"/>
              </w:rPr>
            </w:pPr>
            <w:r w:rsidRPr="008D6BB7">
              <w:rPr>
                <w:b/>
                <w:color w:val="FFFFFF" w:themeColor="background1"/>
              </w:rPr>
              <w:t>1 bed</w:t>
            </w:r>
          </w:p>
        </w:tc>
        <w:tc>
          <w:tcPr>
            <w:tcW w:w="731"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578E1233" w14:textId="77777777" w:rsidR="00201C53" w:rsidRPr="008D6BB7" w:rsidRDefault="00201C53" w:rsidP="00252C91">
            <w:pPr>
              <w:spacing w:line="276" w:lineRule="auto"/>
              <w:jc w:val="both"/>
              <w:rPr>
                <w:b/>
                <w:color w:val="FFFFFF" w:themeColor="background1"/>
              </w:rPr>
            </w:pPr>
            <w:r w:rsidRPr="008D6BB7">
              <w:rPr>
                <w:b/>
                <w:color w:val="FFFFFF" w:themeColor="background1"/>
              </w:rPr>
              <w:t>2 beds</w:t>
            </w:r>
          </w:p>
        </w:tc>
        <w:tc>
          <w:tcPr>
            <w:tcW w:w="731"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005D1123" w14:textId="77777777" w:rsidR="00201C53" w:rsidRPr="008D6BB7" w:rsidRDefault="00201C53" w:rsidP="00252C91">
            <w:pPr>
              <w:spacing w:line="276" w:lineRule="auto"/>
              <w:jc w:val="both"/>
              <w:rPr>
                <w:b/>
                <w:color w:val="FFFFFF" w:themeColor="background1"/>
              </w:rPr>
            </w:pPr>
            <w:r w:rsidRPr="008D6BB7">
              <w:rPr>
                <w:b/>
                <w:color w:val="FFFFFF" w:themeColor="background1"/>
              </w:rPr>
              <w:t>3 beds</w:t>
            </w:r>
          </w:p>
        </w:tc>
        <w:tc>
          <w:tcPr>
            <w:tcW w:w="731"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0D6720B1" w14:textId="77777777" w:rsidR="00201C53" w:rsidRPr="008D6BB7" w:rsidRDefault="00201C53" w:rsidP="00252C91">
            <w:pPr>
              <w:spacing w:line="276" w:lineRule="auto"/>
              <w:jc w:val="both"/>
              <w:rPr>
                <w:b/>
                <w:color w:val="FFFFFF" w:themeColor="background1"/>
              </w:rPr>
            </w:pPr>
            <w:r w:rsidRPr="008D6BB7">
              <w:rPr>
                <w:b/>
                <w:color w:val="FFFFFF" w:themeColor="background1"/>
              </w:rPr>
              <w:t>4 beds</w:t>
            </w:r>
          </w:p>
        </w:tc>
        <w:tc>
          <w:tcPr>
            <w:tcW w:w="729"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485DE9E3" w14:textId="77777777" w:rsidR="00201C53" w:rsidRPr="008D6BB7" w:rsidRDefault="00201C53" w:rsidP="00252C91">
            <w:pPr>
              <w:spacing w:line="276" w:lineRule="auto"/>
              <w:jc w:val="both"/>
              <w:rPr>
                <w:b/>
                <w:color w:val="FFFFFF" w:themeColor="background1"/>
              </w:rPr>
            </w:pPr>
            <w:r w:rsidRPr="008D6BB7">
              <w:rPr>
                <w:b/>
                <w:color w:val="FFFFFF" w:themeColor="background1"/>
              </w:rPr>
              <w:t>All</w:t>
            </w:r>
          </w:p>
        </w:tc>
      </w:tr>
      <w:tr w:rsidR="005D1CFE" w:rsidRPr="008D6BB7" w14:paraId="5DCA7706" w14:textId="77777777" w:rsidTr="009F139A">
        <w:trPr>
          <w:trHeight w:val="300"/>
        </w:trPr>
        <w:tc>
          <w:tcPr>
            <w:tcW w:w="1347" w:type="pct"/>
            <w:tcBorders>
              <w:top w:val="nil"/>
              <w:left w:val="single" w:sz="4" w:space="0" w:color="auto"/>
              <w:bottom w:val="single" w:sz="4" w:space="0" w:color="auto"/>
              <w:right w:val="single" w:sz="4" w:space="0" w:color="auto"/>
            </w:tcBorders>
            <w:shd w:val="clear" w:color="auto" w:fill="auto"/>
            <w:noWrap/>
            <w:vAlign w:val="center"/>
            <w:hideMark/>
          </w:tcPr>
          <w:p w14:paraId="6F0F92D5" w14:textId="77777777" w:rsidR="005D1CFE" w:rsidRPr="008D6BB7" w:rsidRDefault="005D1CFE" w:rsidP="005D1CFE">
            <w:pPr>
              <w:spacing w:line="276" w:lineRule="auto"/>
              <w:jc w:val="both"/>
              <w:rPr>
                <w:color w:val="000000" w:themeColor="text1"/>
              </w:rPr>
            </w:pPr>
            <w:r w:rsidRPr="008D6BB7">
              <w:rPr>
                <w:color w:val="000000" w:themeColor="text1"/>
              </w:rPr>
              <w:t xml:space="preserve">Average social rent </w:t>
            </w:r>
            <w:r>
              <w:rPr>
                <w:color w:val="000000" w:themeColor="text1"/>
              </w:rPr>
              <w:t>per week</w:t>
            </w:r>
          </w:p>
        </w:tc>
        <w:tc>
          <w:tcPr>
            <w:tcW w:w="7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80D896" w14:textId="25EB0D0B" w:rsidR="005D1CFE" w:rsidRPr="009F139A" w:rsidRDefault="005D1CFE" w:rsidP="009F139A">
            <w:pPr>
              <w:spacing w:line="276" w:lineRule="auto"/>
              <w:jc w:val="right"/>
              <w:rPr>
                <w:color w:val="000000" w:themeColor="text1"/>
              </w:rPr>
            </w:pPr>
            <w:r w:rsidRPr="009F139A">
              <w:rPr>
                <w:rFonts w:ascii="Arial" w:hAnsi="Arial" w:cs="Arial"/>
                <w:color w:val="000000"/>
                <w:sz w:val="22"/>
                <w:szCs w:val="22"/>
              </w:rPr>
              <w:t>£64.00</w:t>
            </w:r>
          </w:p>
        </w:tc>
        <w:tc>
          <w:tcPr>
            <w:tcW w:w="731" w:type="pct"/>
            <w:tcBorders>
              <w:top w:val="single" w:sz="4" w:space="0" w:color="auto"/>
              <w:left w:val="nil"/>
              <w:bottom w:val="single" w:sz="4" w:space="0" w:color="auto"/>
              <w:right w:val="single" w:sz="4" w:space="0" w:color="auto"/>
            </w:tcBorders>
            <w:shd w:val="clear" w:color="auto" w:fill="auto"/>
            <w:noWrap/>
            <w:vAlign w:val="center"/>
          </w:tcPr>
          <w:p w14:paraId="4101B8DA" w14:textId="168E25A2" w:rsidR="005D1CFE" w:rsidRPr="009F139A" w:rsidRDefault="005D1CFE" w:rsidP="009F139A">
            <w:pPr>
              <w:spacing w:line="276" w:lineRule="auto"/>
              <w:jc w:val="right"/>
              <w:rPr>
                <w:color w:val="000000" w:themeColor="text1"/>
              </w:rPr>
            </w:pPr>
            <w:r w:rsidRPr="009F139A">
              <w:rPr>
                <w:rFonts w:ascii="Arial" w:hAnsi="Arial" w:cs="Arial"/>
                <w:color w:val="000000"/>
                <w:sz w:val="22"/>
                <w:szCs w:val="22"/>
              </w:rPr>
              <w:t>£73.00</w:t>
            </w:r>
          </w:p>
        </w:tc>
        <w:tc>
          <w:tcPr>
            <w:tcW w:w="731" w:type="pct"/>
            <w:tcBorders>
              <w:top w:val="single" w:sz="4" w:space="0" w:color="auto"/>
              <w:left w:val="nil"/>
              <w:bottom w:val="single" w:sz="4" w:space="0" w:color="auto"/>
              <w:right w:val="single" w:sz="4" w:space="0" w:color="auto"/>
            </w:tcBorders>
            <w:shd w:val="clear" w:color="auto" w:fill="auto"/>
            <w:noWrap/>
            <w:vAlign w:val="center"/>
          </w:tcPr>
          <w:p w14:paraId="7A1D4C2C" w14:textId="394AC7C3" w:rsidR="005D1CFE" w:rsidRPr="009F139A" w:rsidRDefault="005D1CFE" w:rsidP="009F139A">
            <w:pPr>
              <w:spacing w:line="276" w:lineRule="auto"/>
              <w:jc w:val="right"/>
              <w:rPr>
                <w:color w:val="000000" w:themeColor="text1"/>
              </w:rPr>
            </w:pPr>
            <w:r w:rsidRPr="009F139A">
              <w:rPr>
                <w:rFonts w:ascii="Arial" w:hAnsi="Arial" w:cs="Arial"/>
                <w:color w:val="000000"/>
                <w:sz w:val="22"/>
                <w:szCs w:val="22"/>
              </w:rPr>
              <w:t>£79.00</w:t>
            </w:r>
          </w:p>
        </w:tc>
        <w:tc>
          <w:tcPr>
            <w:tcW w:w="731" w:type="pct"/>
            <w:tcBorders>
              <w:top w:val="single" w:sz="4" w:space="0" w:color="auto"/>
              <w:left w:val="nil"/>
              <w:bottom w:val="single" w:sz="4" w:space="0" w:color="auto"/>
              <w:right w:val="single" w:sz="4" w:space="0" w:color="auto"/>
            </w:tcBorders>
            <w:shd w:val="clear" w:color="auto" w:fill="auto"/>
            <w:noWrap/>
            <w:vAlign w:val="center"/>
          </w:tcPr>
          <w:p w14:paraId="5100310A" w14:textId="61131583" w:rsidR="005D1CFE" w:rsidRPr="009F139A" w:rsidRDefault="005D1CFE" w:rsidP="009F139A">
            <w:pPr>
              <w:spacing w:line="276" w:lineRule="auto"/>
              <w:jc w:val="right"/>
              <w:rPr>
                <w:color w:val="000000" w:themeColor="text1"/>
              </w:rPr>
            </w:pPr>
            <w:r w:rsidRPr="009F139A">
              <w:rPr>
                <w:rFonts w:ascii="Arial" w:hAnsi="Arial" w:cs="Arial"/>
                <w:color w:val="000000"/>
                <w:sz w:val="22"/>
                <w:szCs w:val="22"/>
              </w:rPr>
              <w:t>£86.00</w:t>
            </w:r>
          </w:p>
        </w:tc>
        <w:tc>
          <w:tcPr>
            <w:tcW w:w="729" w:type="pct"/>
            <w:tcBorders>
              <w:top w:val="single" w:sz="4" w:space="0" w:color="auto"/>
              <w:left w:val="nil"/>
              <w:bottom w:val="single" w:sz="4" w:space="0" w:color="auto"/>
              <w:right w:val="single" w:sz="4" w:space="0" w:color="auto"/>
            </w:tcBorders>
            <w:shd w:val="clear" w:color="auto" w:fill="auto"/>
            <w:noWrap/>
            <w:vAlign w:val="center"/>
          </w:tcPr>
          <w:p w14:paraId="0F662C9F" w14:textId="43888409" w:rsidR="005D1CFE" w:rsidRPr="009F139A" w:rsidRDefault="005D1CFE" w:rsidP="009F139A">
            <w:pPr>
              <w:spacing w:line="276" w:lineRule="auto"/>
              <w:jc w:val="right"/>
              <w:rPr>
                <w:b/>
                <w:bCs/>
                <w:color w:val="000000" w:themeColor="text1"/>
              </w:rPr>
            </w:pPr>
            <w:r w:rsidRPr="009F139A">
              <w:rPr>
                <w:rFonts w:ascii="Arial" w:hAnsi="Arial" w:cs="Arial"/>
                <w:b/>
                <w:bCs/>
                <w:color w:val="000000"/>
                <w:sz w:val="22"/>
                <w:szCs w:val="22"/>
              </w:rPr>
              <w:t>£74.00</w:t>
            </w:r>
          </w:p>
        </w:tc>
      </w:tr>
      <w:tr w:rsidR="005D1CFE" w:rsidRPr="008D6BB7" w14:paraId="2291A9F2" w14:textId="77777777" w:rsidTr="009F139A">
        <w:trPr>
          <w:trHeight w:val="64"/>
        </w:trPr>
        <w:tc>
          <w:tcPr>
            <w:tcW w:w="1347" w:type="pct"/>
            <w:tcBorders>
              <w:top w:val="nil"/>
              <w:left w:val="single" w:sz="4" w:space="0" w:color="auto"/>
              <w:bottom w:val="single" w:sz="4" w:space="0" w:color="auto"/>
              <w:right w:val="single" w:sz="4" w:space="0" w:color="auto"/>
            </w:tcBorders>
            <w:shd w:val="clear" w:color="auto" w:fill="auto"/>
            <w:noWrap/>
            <w:vAlign w:val="center"/>
            <w:hideMark/>
          </w:tcPr>
          <w:p w14:paraId="3B4501EA" w14:textId="77777777" w:rsidR="005D1CFE" w:rsidRPr="008D6BB7" w:rsidRDefault="005D1CFE" w:rsidP="005D1CFE">
            <w:pPr>
              <w:spacing w:line="276" w:lineRule="auto"/>
              <w:jc w:val="both"/>
              <w:rPr>
                <w:color w:val="000000" w:themeColor="text1"/>
              </w:rPr>
            </w:pPr>
            <w:r w:rsidRPr="008D6BB7">
              <w:rPr>
                <w:color w:val="000000" w:themeColor="text1"/>
              </w:rPr>
              <w:t>Annual average</w:t>
            </w:r>
          </w:p>
        </w:tc>
        <w:tc>
          <w:tcPr>
            <w:tcW w:w="7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673497" w14:textId="2B2133D0" w:rsidR="005D1CFE" w:rsidRPr="009F139A" w:rsidRDefault="005D1CFE" w:rsidP="009F139A">
            <w:pPr>
              <w:spacing w:line="276" w:lineRule="auto"/>
              <w:jc w:val="right"/>
              <w:rPr>
                <w:color w:val="000000" w:themeColor="text1"/>
              </w:rPr>
            </w:pPr>
            <w:r w:rsidRPr="009F139A">
              <w:rPr>
                <w:rFonts w:ascii="Arial" w:hAnsi="Arial" w:cs="Arial"/>
                <w:color w:val="000000"/>
                <w:sz w:val="22"/>
                <w:szCs w:val="22"/>
              </w:rPr>
              <w:t>£3,328</w:t>
            </w:r>
          </w:p>
        </w:tc>
        <w:tc>
          <w:tcPr>
            <w:tcW w:w="731" w:type="pct"/>
            <w:tcBorders>
              <w:top w:val="single" w:sz="4" w:space="0" w:color="auto"/>
              <w:left w:val="nil"/>
              <w:bottom w:val="single" w:sz="4" w:space="0" w:color="auto"/>
              <w:right w:val="single" w:sz="4" w:space="0" w:color="auto"/>
            </w:tcBorders>
            <w:shd w:val="clear" w:color="auto" w:fill="auto"/>
            <w:noWrap/>
            <w:vAlign w:val="center"/>
          </w:tcPr>
          <w:p w14:paraId="4F5962BD" w14:textId="6CA79E95" w:rsidR="005D1CFE" w:rsidRPr="009F139A" w:rsidRDefault="005D1CFE" w:rsidP="009F139A">
            <w:pPr>
              <w:spacing w:line="276" w:lineRule="auto"/>
              <w:jc w:val="right"/>
              <w:rPr>
                <w:color w:val="000000" w:themeColor="text1"/>
              </w:rPr>
            </w:pPr>
            <w:r w:rsidRPr="009F139A">
              <w:rPr>
                <w:rFonts w:ascii="Arial" w:hAnsi="Arial" w:cs="Arial"/>
                <w:color w:val="000000"/>
                <w:sz w:val="22"/>
                <w:szCs w:val="22"/>
              </w:rPr>
              <w:t>£3,796</w:t>
            </w:r>
          </w:p>
        </w:tc>
        <w:tc>
          <w:tcPr>
            <w:tcW w:w="731" w:type="pct"/>
            <w:tcBorders>
              <w:top w:val="single" w:sz="4" w:space="0" w:color="auto"/>
              <w:left w:val="nil"/>
              <w:bottom w:val="single" w:sz="4" w:space="0" w:color="auto"/>
              <w:right w:val="single" w:sz="4" w:space="0" w:color="auto"/>
            </w:tcBorders>
            <w:shd w:val="clear" w:color="auto" w:fill="auto"/>
            <w:noWrap/>
            <w:vAlign w:val="center"/>
          </w:tcPr>
          <w:p w14:paraId="332DDD5A" w14:textId="25914D3F" w:rsidR="005D1CFE" w:rsidRPr="009F139A" w:rsidRDefault="005D1CFE" w:rsidP="009F139A">
            <w:pPr>
              <w:spacing w:line="276" w:lineRule="auto"/>
              <w:jc w:val="right"/>
              <w:rPr>
                <w:color w:val="000000" w:themeColor="text1"/>
              </w:rPr>
            </w:pPr>
            <w:r w:rsidRPr="009F139A">
              <w:rPr>
                <w:rFonts w:ascii="Arial" w:hAnsi="Arial" w:cs="Arial"/>
                <w:color w:val="000000"/>
                <w:sz w:val="22"/>
                <w:szCs w:val="22"/>
              </w:rPr>
              <w:t>£4,108</w:t>
            </w:r>
          </w:p>
        </w:tc>
        <w:tc>
          <w:tcPr>
            <w:tcW w:w="731" w:type="pct"/>
            <w:tcBorders>
              <w:top w:val="single" w:sz="4" w:space="0" w:color="auto"/>
              <w:left w:val="nil"/>
              <w:bottom w:val="single" w:sz="4" w:space="0" w:color="auto"/>
              <w:right w:val="single" w:sz="4" w:space="0" w:color="auto"/>
            </w:tcBorders>
            <w:shd w:val="clear" w:color="auto" w:fill="auto"/>
            <w:noWrap/>
            <w:vAlign w:val="center"/>
          </w:tcPr>
          <w:p w14:paraId="0191A6BB" w14:textId="77DE973E" w:rsidR="005D1CFE" w:rsidRPr="009F139A" w:rsidRDefault="005D1CFE" w:rsidP="009F139A">
            <w:pPr>
              <w:spacing w:line="276" w:lineRule="auto"/>
              <w:jc w:val="right"/>
              <w:rPr>
                <w:color w:val="000000" w:themeColor="text1"/>
              </w:rPr>
            </w:pPr>
            <w:r w:rsidRPr="009F139A">
              <w:rPr>
                <w:rFonts w:ascii="Arial" w:hAnsi="Arial" w:cs="Arial"/>
                <w:color w:val="000000"/>
                <w:sz w:val="22"/>
                <w:szCs w:val="22"/>
              </w:rPr>
              <w:t>£4,472</w:t>
            </w:r>
          </w:p>
        </w:tc>
        <w:tc>
          <w:tcPr>
            <w:tcW w:w="729" w:type="pct"/>
            <w:tcBorders>
              <w:top w:val="single" w:sz="4" w:space="0" w:color="auto"/>
              <w:left w:val="nil"/>
              <w:bottom w:val="single" w:sz="4" w:space="0" w:color="auto"/>
              <w:right w:val="single" w:sz="4" w:space="0" w:color="auto"/>
            </w:tcBorders>
            <w:shd w:val="clear" w:color="auto" w:fill="auto"/>
            <w:noWrap/>
            <w:vAlign w:val="center"/>
          </w:tcPr>
          <w:p w14:paraId="4BB61007" w14:textId="5A5286C9" w:rsidR="005D1CFE" w:rsidRPr="009F139A" w:rsidRDefault="005D1CFE" w:rsidP="009F139A">
            <w:pPr>
              <w:spacing w:line="276" w:lineRule="auto"/>
              <w:jc w:val="right"/>
              <w:rPr>
                <w:b/>
                <w:bCs/>
                <w:color w:val="000000" w:themeColor="text1"/>
              </w:rPr>
            </w:pPr>
            <w:r w:rsidRPr="009F139A">
              <w:rPr>
                <w:rFonts w:ascii="Arial" w:hAnsi="Arial" w:cs="Arial"/>
                <w:b/>
                <w:bCs/>
                <w:color w:val="000000"/>
                <w:sz w:val="22"/>
                <w:szCs w:val="22"/>
              </w:rPr>
              <w:t>£3,848</w:t>
            </w:r>
          </w:p>
        </w:tc>
      </w:tr>
      <w:tr w:rsidR="005D1CFE" w:rsidRPr="008D6BB7" w14:paraId="6D6917D7" w14:textId="77777777" w:rsidTr="009F139A">
        <w:trPr>
          <w:trHeight w:val="300"/>
        </w:trPr>
        <w:tc>
          <w:tcPr>
            <w:tcW w:w="1347" w:type="pct"/>
            <w:tcBorders>
              <w:top w:val="nil"/>
              <w:left w:val="single" w:sz="4" w:space="0" w:color="auto"/>
              <w:bottom w:val="single" w:sz="4" w:space="0" w:color="auto"/>
              <w:right w:val="single" w:sz="4" w:space="0" w:color="auto"/>
            </w:tcBorders>
            <w:shd w:val="clear" w:color="auto" w:fill="auto"/>
            <w:noWrap/>
            <w:vAlign w:val="center"/>
            <w:hideMark/>
          </w:tcPr>
          <w:p w14:paraId="49318035" w14:textId="77777777" w:rsidR="005D1CFE" w:rsidRPr="008D6BB7" w:rsidRDefault="005D1CFE" w:rsidP="005D1CFE">
            <w:pPr>
              <w:spacing w:line="276" w:lineRule="auto"/>
              <w:jc w:val="both"/>
              <w:rPr>
                <w:color w:val="000000" w:themeColor="text1"/>
              </w:rPr>
            </w:pPr>
            <w:r w:rsidRPr="008D6BB7">
              <w:rPr>
                <w:color w:val="000000" w:themeColor="text1"/>
              </w:rPr>
              <w:t>Income needed</w:t>
            </w:r>
          </w:p>
        </w:tc>
        <w:tc>
          <w:tcPr>
            <w:tcW w:w="732" w:type="pct"/>
            <w:tcBorders>
              <w:top w:val="nil"/>
              <w:left w:val="single" w:sz="4" w:space="0" w:color="auto"/>
              <w:bottom w:val="single" w:sz="4" w:space="0" w:color="auto"/>
              <w:right w:val="single" w:sz="4" w:space="0" w:color="auto"/>
            </w:tcBorders>
            <w:shd w:val="clear" w:color="auto" w:fill="auto"/>
            <w:noWrap/>
            <w:vAlign w:val="center"/>
          </w:tcPr>
          <w:p w14:paraId="0B103C30" w14:textId="2EFC58F2" w:rsidR="005D1CFE" w:rsidRPr="009F139A" w:rsidRDefault="005D1CFE" w:rsidP="009F139A">
            <w:pPr>
              <w:spacing w:line="276" w:lineRule="auto"/>
              <w:jc w:val="right"/>
              <w:rPr>
                <w:color w:val="000000" w:themeColor="text1"/>
              </w:rPr>
            </w:pPr>
            <w:r w:rsidRPr="009F139A">
              <w:rPr>
                <w:rFonts w:ascii="Arial" w:hAnsi="Arial" w:cs="Arial"/>
                <w:color w:val="000000"/>
                <w:sz w:val="22"/>
                <w:szCs w:val="22"/>
              </w:rPr>
              <w:t>£11,093</w:t>
            </w:r>
          </w:p>
        </w:tc>
        <w:tc>
          <w:tcPr>
            <w:tcW w:w="731" w:type="pct"/>
            <w:tcBorders>
              <w:top w:val="nil"/>
              <w:left w:val="nil"/>
              <w:bottom w:val="single" w:sz="4" w:space="0" w:color="auto"/>
              <w:right w:val="single" w:sz="4" w:space="0" w:color="auto"/>
            </w:tcBorders>
            <w:shd w:val="clear" w:color="auto" w:fill="auto"/>
            <w:noWrap/>
            <w:vAlign w:val="center"/>
          </w:tcPr>
          <w:p w14:paraId="08E1A321" w14:textId="1CB39DF5" w:rsidR="005D1CFE" w:rsidRPr="009F139A" w:rsidRDefault="005D1CFE" w:rsidP="009F139A">
            <w:pPr>
              <w:spacing w:line="276" w:lineRule="auto"/>
              <w:jc w:val="right"/>
              <w:rPr>
                <w:color w:val="000000" w:themeColor="text1"/>
              </w:rPr>
            </w:pPr>
            <w:r w:rsidRPr="009F139A">
              <w:rPr>
                <w:rFonts w:ascii="Arial" w:hAnsi="Arial" w:cs="Arial"/>
                <w:color w:val="000000"/>
                <w:sz w:val="22"/>
                <w:szCs w:val="22"/>
              </w:rPr>
              <w:t>£12,653</w:t>
            </w:r>
          </w:p>
        </w:tc>
        <w:tc>
          <w:tcPr>
            <w:tcW w:w="731" w:type="pct"/>
            <w:tcBorders>
              <w:top w:val="nil"/>
              <w:left w:val="nil"/>
              <w:bottom w:val="single" w:sz="4" w:space="0" w:color="auto"/>
              <w:right w:val="single" w:sz="4" w:space="0" w:color="auto"/>
            </w:tcBorders>
            <w:shd w:val="clear" w:color="auto" w:fill="auto"/>
            <w:noWrap/>
            <w:vAlign w:val="center"/>
          </w:tcPr>
          <w:p w14:paraId="533BEA7A" w14:textId="1808EF81" w:rsidR="005D1CFE" w:rsidRPr="009F139A" w:rsidRDefault="005D1CFE" w:rsidP="009F139A">
            <w:pPr>
              <w:spacing w:line="276" w:lineRule="auto"/>
              <w:jc w:val="right"/>
              <w:rPr>
                <w:color w:val="000000" w:themeColor="text1"/>
              </w:rPr>
            </w:pPr>
            <w:r w:rsidRPr="009F139A">
              <w:rPr>
                <w:rFonts w:ascii="Arial" w:hAnsi="Arial" w:cs="Arial"/>
                <w:color w:val="000000"/>
                <w:sz w:val="22"/>
                <w:szCs w:val="22"/>
              </w:rPr>
              <w:t>£13,693</w:t>
            </w:r>
          </w:p>
        </w:tc>
        <w:tc>
          <w:tcPr>
            <w:tcW w:w="731" w:type="pct"/>
            <w:tcBorders>
              <w:top w:val="nil"/>
              <w:left w:val="nil"/>
              <w:bottom w:val="single" w:sz="4" w:space="0" w:color="auto"/>
              <w:right w:val="single" w:sz="4" w:space="0" w:color="auto"/>
            </w:tcBorders>
            <w:shd w:val="clear" w:color="auto" w:fill="auto"/>
            <w:noWrap/>
            <w:vAlign w:val="center"/>
          </w:tcPr>
          <w:p w14:paraId="3C9F1AB8" w14:textId="03BBD83B" w:rsidR="005D1CFE" w:rsidRPr="009F139A" w:rsidRDefault="005D1CFE" w:rsidP="009F139A">
            <w:pPr>
              <w:spacing w:line="276" w:lineRule="auto"/>
              <w:jc w:val="right"/>
              <w:rPr>
                <w:color w:val="000000" w:themeColor="text1"/>
              </w:rPr>
            </w:pPr>
            <w:r w:rsidRPr="009F139A">
              <w:rPr>
                <w:rFonts w:ascii="Arial" w:hAnsi="Arial" w:cs="Arial"/>
                <w:color w:val="000000"/>
                <w:sz w:val="22"/>
                <w:szCs w:val="22"/>
              </w:rPr>
              <w:t>£14,907</w:t>
            </w:r>
          </w:p>
        </w:tc>
        <w:tc>
          <w:tcPr>
            <w:tcW w:w="729" w:type="pct"/>
            <w:tcBorders>
              <w:top w:val="nil"/>
              <w:left w:val="nil"/>
              <w:bottom w:val="single" w:sz="4" w:space="0" w:color="auto"/>
              <w:right w:val="single" w:sz="4" w:space="0" w:color="auto"/>
            </w:tcBorders>
            <w:shd w:val="clear" w:color="auto" w:fill="auto"/>
            <w:noWrap/>
            <w:vAlign w:val="center"/>
          </w:tcPr>
          <w:p w14:paraId="3ED0DADD" w14:textId="6BD7BAC5" w:rsidR="005D1CFE" w:rsidRPr="009F139A" w:rsidRDefault="005D1CFE" w:rsidP="009F139A">
            <w:pPr>
              <w:spacing w:line="276" w:lineRule="auto"/>
              <w:jc w:val="right"/>
              <w:rPr>
                <w:b/>
                <w:bCs/>
                <w:color w:val="000000" w:themeColor="text1"/>
              </w:rPr>
            </w:pPr>
            <w:r w:rsidRPr="009F139A">
              <w:rPr>
                <w:rFonts w:ascii="Arial" w:hAnsi="Arial" w:cs="Arial"/>
                <w:b/>
                <w:bCs/>
                <w:color w:val="000000"/>
                <w:sz w:val="22"/>
                <w:szCs w:val="22"/>
              </w:rPr>
              <w:t>£12,827</w:t>
            </w:r>
          </w:p>
        </w:tc>
      </w:tr>
    </w:tbl>
    <w:p w14:paraId="73C47ED9" w14:textId="77777777" w:rsidR="00201C53" w:rsidRPr="008D6BB7" w:rsidRDefault="00201C53" w:rsidP="00252C91">
      <w:pPr>
        <w:pStyle w:val="Source"/>
        <w:jc w:val="both"/>
      </w:pPr>
      <w:r>
        <w:t>Source: Homes England</w:t>
      </w:r>
      <w:r w:rsidRPr="008D6BB7">
        <w:t>, AECOM Calculations</w:t>
      </w:r>
    </w:p>
    <w:p w14:paraId="544352D3" w14:textId="77777777" w:rsidR="00201C53" w:rsidRPr="009E1BB6" w:rsidRDefault="00201C53" w:rsidP="00252C91">
      <w:pPr>
        <w:pStyle w:val="Appendix3"/>
        <w:jc w:val="both"/>
        <w:rPr>
          <w:color w:val="auto"/>
        </w:rPr>
      </w:pPr>
      <w:bookmarkStart w:id="210" w:name="_Toc518220505"/>
      <w:bookmarkStart w:id="211" w:name="_Toc521492007"/>
      <w:bookmarkStart w:id="212" w:name="_Toc536797462"/>
      <w:bookmarkStart w:id="213" w:name="_Toc2690297"/>
      <w:bookmarkStart w:id="214" w:name="_Toc31722708"/>
      <w:bookmarkStart w:id="215" w:name="_Toc102731925"/>
      <w:r w:rsidRPr="009E1BB6">
        <w:rPr>
          <w:color w:val="auto"/>
        </w:rPr>
        <w:t>Affordable rent</w:t>
      </w:r>
      <w:bookmarkEnd w:id="210"/>
      <w:bookmarkEnd w:id="211"/>
      <w:bookmarkEnd w:id="212"/>
      <w:bookmarkEnd w:id="213"/>
      <w:bookmarkEnd w:id="214"/>
      <w:bookmarkEnd w:id="215"/>
    </w:p>
    <w:p w14:paraId="35CD5C91" w14:textId="77777777" w:rsidR="00201C53" w:rsidRPr="009E1BB6" w:rsidRDefault="00201C53" w:rsidP="00252C91">
      <w:pPr>
        <w:pStyle w:val="AppendixText"/>
        <w:jc w:val="both"/>
        <w:rPr>
          <w:bCs/>
        </w:rPr>
      </w:pPr>
      <w:r w:rsidRPr="009E1BB6">
        <w:t xml:space="preserve">Affordable rent is controlled at no more than 80% of the local market rent. However, registered providers who own and manage affordable rented housing may also apply a cap to the rent to ensure that it is affordable to those on housing benefit (where under Universal Credit the total received in all benefits to working age households is £20,000). </w:t>
      </w:r>
    </w:p>
    <w:p w14:paraId="22650071" w14:textId="77777777" w:rsidR="00201C53" w:rsidRPr="009E1BB6" w:rsidRDefault="00201C53" w:rsidP="00252C91">
      <w:pPr>
        <w:pStyle w:val="AppendixText"/>
        <w:jc w:val="both"/>
        <w:rPr>
          <w:bCs/>
        </w:rPr>
      </w:pPr>
      <w:r w:rsidRPr="009E1BB6">
        <w:t xml:space="preserve">Even a 20% discount on the market rent may not be sufficient to ensure that households can afford this tenure, particularly when they are dependent on benefits. Registered Providers in some areas have applied caps to larger properties where the higher rents would make them unaffordable to families under Universal Credit. This may mean that the rents are </w:t>
      </w:r>
      <w:proofErr w:type="gramStart"/>
      <w:r w:rsidRPr="009E1BB6">
        <w:t>actually 50-60% of</w:t>
      </w:r>
      <w:proofErr w:type="gramEnd"/>
      <w:r w:rsidRPr="009E1BB6">
        <w:t xml:space="preserve"> market levels rather than 80%. </w:t>
      </w:r>
    </w:p>
    <w:p w14:paraId="17CEB9C2" w14:textId="57DC477A" w:rsidR="00201C53" w:rsidRPr="009E1BB6" w:rsidRDefault="00201C53" w:rsidP="00252C91">
      <w:pPr>
        <w:pStyle w:val="AppendixText"/>
        <w:jc w:val="both"/>
        <w:rPr>
          <w:bCs/>
        </w:rPr>
      </w:pPr>
      <w:r w:rsidRPr="009E1BB6">
        <w:t xml:space="preserve">Data on the most realistic local affordable rent costs is obtained from the same source as social rent levels for </w:t>
      </w:r>
      <w:r w:rsidR="009F139A">
        <w:t>County Durham</w:t>
      </w:r>
      <w:r w:rsidRPr="009E1BB6">
        <w:t xml:space="preserve">. </w:t>
      </w:r>
      <w:r w:rsidR="009F139A" w:rsidRPr="009E1BB6">
        <w:t>Again,</w:t>
      </w:r>
      <w:r w:rsidRPr="009E1BB6">
        <w:t xml:space="preserve"> it is assumed that no more than 30% of income should be spent on rent, and the overall average is taken forward.</w:t>
      </w:r>
    </w:p>
    <w:p w14:paraId="70B8FE9F" w14:textId="628D85F6" w:rsidR="00201C53" w:rsidRPr="009E1BB6" w:rsidRDefault="00201C53" w:rsidP="00252C91">
      <w:pPr>
        <w:pStyle w:val="AppendixText"/>
        <w:jc w:val="both"/>
        <w:rPr>
          <w:bCs/>
        </w:rPr>
      </w:pPr>
      <w:r w:rsidRPr="009E1BB6">
        <w:t xml:space="preserve">Comparing this result with the average </w:t>
      </w:r>
      <w:proofErr w:type="gramStart"/>
      <w:r w:rsidRPr="009E1BB6">
        <w:t>2 bedroom</w:t>
      </w:r>
      <w:proofErr w:type="gramEnd"/>
      <w:r w:rsidRPr="009E1BB6">
        <w:t xml:space="preserve"> annual private rent above indicates that affordable rents in the NA are actually closer to </w:t>
      </w:r>
      <w:r w:rsidR="001C4B17">
        <w:t>60</w:t>
      </w:r>
      <w:r w:rsidRPr="009E1BB6">
        <w:t>% of market rates than the maximum of 80%, a feature that is necessary to make them achievable to those in need.</w:t>
      </w:r>
    </w:p>
    <w:p w14:paraId="040D0DFB" w14:textId="77777777" w:rsidR="00201C53" w:rsidRPr="009E1BB6" w:rsidRDefault="00201C53" w:rsidP="00252C91">
      <w:pPr>
        <w:pStyle w:val="Caption"/>
        <w:jc w:val="both"/>
        <w:rPr>
          <w:color w:val="auto"/>
        </w:rPr>
      </w:pPr>
      <w:r w:rsidRPr="009E1BB6">
        <w:rPr>
          <w:color w:val="auto"/>
        </w:rPr>
        <w:t>Table C-2: Affordable rent levels (£)</w:t>
      </w:r>
    </w:p>
    <w:tbl>
      <w:tblPr>
        <w:tblW w:w="5000" w:type="pct"/>
        <w:tblInd w:w="-5" w:type="dxa"/>
        <w:tblLayout w:type="fixed"/>
        <w:tblLook w:val="04A0" w:firstRow="1" w:lastRow="0" w:firstColumn="1" w:lastColumn="0" w:noHBand="0" w:noVBand="1"/>
      </w:tblPr>
      <w:tblGrid>
        <w:gridCol w:w="2648"/>
        <w:gridCol w:w="1438"/>
        <w:gridCol w:w="1436"/>
        <w:gridCol w:w="1436"/>
        <w:gridCol w:w="1436"/>
        <w:gridCol w:w="1430"/>
      </w:tblGrid>
      <w:tr w:rsidR="00201C53" w:rsidRPr="008D6BB7" w14:paraId="4764CE17" w14:textId="77777777" w:rsidTr="008C4B37">
        <w:trPr>
          <w:trHeight w:val="300"/>
        </w:trPr>
        <w:tc>
          <w:tcPr>
            <w:tcW w:w="1347"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03DDFF2C" w14:textId="77777777" w:rsidR="00201C53" w:rsidRPr="008D6BB7" w:rsidRDefault="00201C53" w:rsidP="00252C91">
            <w:pPr>
              <w:spacing w:line="276" w:lineRule="auto"/>
              <w:jc w:val="both"/>
              <w:rPr>
                <w:b/>
                <w:color w:val="FFFFFF" w:themeColor="background1"/>
              </w:rPr>
            </w:pPr>
            <w:r w:rsidRPr="008D6BB7">
              <w:rPr>
                <w:b/>
                <w:color w:val="FFFFFF" w:themeColor="background1"/>
              </w:rPr>
              <w:t>Size</w:t>
            </w:r>
          </w:p>
        </w:tc>
        <w:tc>
          <w:tcPr>
            <w:tcW w:w="732"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7692FC2B" w14:textId="77777777" w:rsidR="00201C53" w:rsidRPr="008D6BB7" w:rsidRDefault="00201C53" w:rsidP="00252C91">
            <w:pPr>
              <w:spacing w:line="276" w:lineRule="auto"/>
              <w:jc w:val="both"/>
              <w:rPr>
                <w:b/>
                <w:color w:val="FFFFFF" w:themeColor="background1"/>
              </w:rPr>
            </w:pPr>
            <w:r w:rsidRPr="008D6BB7">
              <w:rPr>
                <w:b/>
                <w:color w:val="FFFFFF" w:themeColor="background1"/>
              </w:rPr>
              <w:t>1 bed</w:t>
            </w:r>
          </w:p>
        </w:tc>
        <w:tc>
          <w:tcPr>
            <w:tcW w:w="731"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7FE0FEDE" w14:textId="77777777" w:rsidR="00201C53" w:rsidRPr="008D6BB7" w:rsidRDefault="00201C53" w:rsidP="00252C91">
            <w:pPr>
              <w:spacing w:line="276" w:lineRule="auto"/>
              <w:jc w:val="both"/>
              <w:rPr>
                <w:b/>
                <w:color w:val="FFFFFF" w:themeColor="background1"/>
              </w:rPr>
            </w:pPr>
            <w:r w:rsidRPr="008D6BB7">
              <w:rPr>
                <w:b/>
                <w:color w:val="FFFFFF" w:themeColor="background1"/>
              </w:rPr>
              <w:t>2 beds</w:t>
            </w:r>
          </w:p>
        </w:tc>
        <w:tc>
          <w:tcPr>
            <w:tcW w:w="731"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759E9796" w14:textId="77777777" w:rsidR="00201C53" w:rsidRPr="008D6BB7" w:rsidRDefault="00201C53" w:rsidP="00252C91">
            <w:pPr>
              <w:spacing w:line="276" w:lineRule="auto"/>
              <w:jc w:val="both"/>
              <w:rPr>
                <w:b/>
                <w:color w:val="FFFFFF" w:themeColor="background1"/>
              </w:rPr>
            </w:pPr>
            <w:r w:rsidRPr="008D6BB7">
              <w:rPr>
                <w:b/>
                <w:color w:val="FFFFFF" w:themeColor="background1"/>
              </w:rPr>
              <w:t>3 beds</w:t>
            </w:r>
          </w:p>
        </w:tc>
        <w:tc>
          <w:tcPr>
            <w:tcW w:w="731"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602A48F4" w14:textId="77777777" w:rsidR="00201C53" w:rsidRPr="008D6BB7" w:rsidRDefault="00201C53" w:rsidP="00252C91">
            <w:pPr>
              <w:spacing w:line="276" w:lineRule="auto"/>
              <w:jc w:val="both"/>
              <w:rPr>
                <w:b/>
                <w:color w:val="FFFFFF" w:themeColor="background1"/>
              </w:rPr>
            </w:pPr>
            <w:r w:rsidRPr="008D6BB7">
              <w:rPr>
                <w:b/>
                <w:color w:val="FFFFFF" w:themeColor="background1"/>
              </w:rPr>
              <w:t>4 beds</w:t>
            </w:r>
          </w:p>
        </w:tc>
        <w:tc>
          <w:tcPr>
            <w:tcW w:w="729"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513DB565" w14:textId="77777777" w:rsidR="00201C53" w:rsidRPr="008D6BB7" w:rsidRDefault="00201C53" w:rsidP="00252C91">
            <w:pPr>
              <w:spacing w:line="276" w:lineRule="auto"/>
              <w:jc w:val="both"/>
              <w:rPr>
                <w:b/>
                <w:color w:val="FFFFFF" w:themeColor="background1"/>
              </w:rPr>
            </w:pPr>
            <w:r w:rsidRPr="008D6BB7">
              <w:rPr>
                <w:b/>
                <w:color w:val="FFFFFF" w:themeColor="background1"/>
              </w:rPr>
              <w:t>All</w:t>
            </w:r>
          </w:p>
        </w:tc>
      </w:tr>
      <w:tr w:rsidR="008C4B37" w:rsidRPr="008D6BB7" w14:paraId="2757DBC0" w14:textId="77777777" w:rsidTr="008C4B37">
        <w:trPr>
          <w:trHeight w:val="300"/>
        </w:trPr>
        <w:tc>
          <w:tcPr>
            <w:tcW w:w="1347" w:type="pct"/>
            <w:tcBorders>
              <w:top w:val="nil"/>
              <w:left w:val="single" w:sz="4" w:space="0" w:color="auto"/>
              <w:bottom w:val="single" w:sz="4" w:space="0" w:color="auto"/>
              <w:right w:val="single" w:sz="4" w:space="0" w:color="auto"/>
            </w:tcBorders>
            <w:shd w:val="clear" w:color="auto" w:fill="auto"/>
            <w:noWrap/>
            <w:vAlign w:val="center"/>
            <w:hideMark/>
          </w:tcPr>
          <w:p w14:paraId="01431F80" w14:textId="77777777" w:rsidR="008C4B37" w:rsidRPr="008D6BB7" w:rsidRDefault="008C4B37" w:rsidP="008C4B37">
            <w:pPr>
              <w:spacing w:line="276" w:lineRule="auto"/>
              <w:jc w:val="both"/>
              <w:rPr>
                <w:color w:val="000000" w:themeColor="text1"/>
              </w:rPr>
            </w:pPr>
            <w:r w:rsidRPr="008D6BB7">
              <w:rPr>
                <w:color w:val="000000" w:themeColor="text1"/>
              </w:rPr>
              <w:t xml:space="preserve">Average </w:t>
            </w:r>
            <w:r>
              <w:rPr>
                <w:color w:val="000000" w:themeColor="text1"/>
              </w:rPr>
              <w:t>affordable</w:t>
            </w:r>
            <w:r w:rsidRPr="008D6BB7">
              <w:rPr>
                <w:color w:val="000000" w:themeColor="text1"/>
              </w:rPr>
              <w:t xml:space="preserve"> rent </w:t>
            </w:r>
            <w:r>
              <w:rPr>
                <w:color w:val="000000" w:themeColor="text1"/>
              </w:rPr>
              <w:t>per week</w:t>
            </w:r>
          </w:p>
        </w:tc>
        <w:tc>
          <w:tcPr>
            <w:tcW w:w="7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1C2E7F" w14:textId="56C18735" w:rsidR="008C4B37" w:rsidRPr="008C4B37" w:rsidRDefault="008C4B37" w:rsidP="008C4B37">
            <w:pPr>
              <w:spacing w:line="276" w:lineRule="auto"/>
              <w:jc w:val="right"/>
              <w:rPr>
                <w:color w:val="000000" w:themeColor="text1"/>
              </w:rPr>
            </w:pPr>
            <w:r w:rsidRPr="008C4B37">
              <w:rPr>
                <w:rFonts w:ascii="Arial" w:hAnsi="Arial" w:cs="Arial"/>
                <w:color w:val="000000"/>
                <w:sz w:val="22"/>
                <w:szCs w:val="22"/>
              </w:rPr>
              <w:t>£76.00</w:t>
            </w:r>
          </w:p>
        </w:tc>
        <w:tc>
          <w:tcPr>
            <w:tcW w:w="731" w:type="pct"/>
            <w:tcBorders>
              <w:top w:val="single" w:sz="4" w:space="0" w:color="auto"/>
              <w:left w:val="nil"/>
              <w:bottom w:val="single" w:sz="4" w:space="0" w:color="auto"/>
              <w:right w:val="single" w:sz="4" w:space="0" w:color="auto"/>
            </w:tcBorders>
            <w:shd w:val="clear" w:color="auto" w:fill="auto"/>
            <w:noWrap/>
            <w:vAlign w:val="center"/>
          </w:tcPr>
          <w:p w14:paraId="5F306C11" w14:textId="41A2CE44" w:rsidR="008C4B37" w:rsidRPr="008C4B37" w:rsidRDefault="008C4B37" w:rsidP="008C4B37">
            <w:pPr>
              <w:spacing w:line="276" w:lineRule="auto"/>
              <w:jc w:val="right"/>
              <w:rPr>
                <w:color w:val="000000" w:themeColor="text1"/>
              </w:rPr>
            </w:pPr>
            <w:r w:rsidRPr="008C4B37">
              <w:rPr>
                <w:rFonts w:ascii="Arial" w:hAnsi="Arial" w:cs="Arial"/>
                <w:color w:val="000000"/>
                <w:sz w:val="22"/>
                <w:szCs w:val="22"/>
              </w:rPr>
              <w:t>£89.00</w:t>
            </w:r>
          </w:p>
        </w:tc>
        <w:tc>
          <w:tcPr>
            <w:tcW w:w="731" w:type="pct"/>
            <w:tcBorders>
              <w:top w:val="single" w:sz="4" w:space="0" w:color="auto"/>
              <w:left w:val="nil"/>
              <w:bottom w:val="single" w:sz="4" w:space="0" w:color="auto"/>
              <w:right w:val="single" w:sz="4" w:space="0" w:color="auto"/>
            </w:tcBorders>
            <w:shd w:val="clear" w:color="auto" w:fill="auto"/>
            <w:noWrap/>
            <w:vAlign w:val="center"/>
          </w:tcPr>
          <w:p w14:paraId="5FAEBAC7" w14:textId="4C8F7307" w:rsidR="008C4B37" w:rsidRPr="008C4B37" w:rsidRDefault="008C4B37" w:rsidP="008C4B37">
            <w:pPr>
              <w:spacing w:line="276" w:lineRule="auto"/>
              <w:jc w:val="right"/>
              <w:rPr>
                <w:color w:val="000000" w:themeColor="text1"/>
              </w:rPr>
            </w:pPr>
            <w:r w:rsidRPr="008C4B37">
              <w:rPr>
                <w:rFonts w:ascii="Arial" w:hAnsi="Arial" w:cs="Arial"/>
                <w:color w:val="000000"/>
                <w:sz w:val="22"/>
                <w:szCs w:val="22"/>
              </w:rPr>
              <w:t>£100.00</w:t>
            </w:r>
          </w:p>
        </w:tc>
        <w:tc>
          <w:tcPr>
            <w:tcW w:w="731" w:type="pct"/>
            <w:tcBorders>
              <w:top w:val="single" w:sz="4" w:space="0" w:color="auto"/>
              <w:left w:val="nil"/>
              <w:bottom w:val="single" w:sz="4" w:space="0" w:color="auto"/>
              <w:right w:val="single" w:sz="4" w:space="0" w:color="auto"/>
            </w:tcBorders>
            <w:shd w:val="clear" w:color="auto" w:fill="auto"/>
            <w:noWrap/>
            <w:vAlign w:val="center"/>
          </w:tcPr>
          <w:p w14:paraId="4D404A58" w14:textId="51589453" w:rsidR="008C4B37" w:rsidRPr="008C4B37" w:rsidRDefault="008C4B37" w:rsidP="008C4B37">
            <w:pPr>
              <w:spacing w:line="276" w:lineRule="auto"/>
              <w:jc w:val="right"/>
              <w:rPr>
                <w:color w:val="000000" w:themeColor="text1"/>
              </w:rPr>
            </w:pPr>
            <w:r w:rsidRPr="008C4B37">
              <w:rPr>
                <w:rFonts w:ascii="Arial" w:hAnsi="Arial" w:cs="Arial"/>
                <w:color w:val="000000"/>
                <w:sz w:val="22"/>
                <w:szCs w:val="22"/>
              </w:rPr>
              <w:t>£106.00</w:t>
            </w:r>
          </w:p>
        </w:tc>
        <w:tc>
          <w:tcPr>
            <w:tcW w:w="729" w:type="pct"/>
            <w:tcBorders>
              <w:top w:val="single" w:sz="4" w:space="0" w:color="auto"/>
              <w:left w:val="nil"/>
              <w:bottom w:val="single" w:sz="4" w:space="0" w:color="auto"/>
              <w:right w:val="single" w:sz="4" w:space="0" w:color="auto"/>
            </w:tcBorders>
            <w:shd w:val="clear" w:color="auto" w:fill="auto"/>
            <w:noWrap/>
            <w:vAlign w:val="center"/>
          </w:tcPr>
          <w:p w14:paraId="3670FAF2" w14:textId="644D97D7" w:rsidR="008C4B37" w:rsidRPr="008C4B37" w:rsidRDefault="008C4B37" w:rsidP="008C4B37">
            <w:pPr>
              <w:spacing w:line="276" w:lineRule="auto"/>
              <w:jc w:val="right"/>
              <w:rPr>
                <w:b/>
                <w:bCs/>
                <w:color w:val="000000" w:themeColor="text1"/>
              </w:rPr>
            </w:pPr>
            <w:r w:rsidRPr="008C4B37">
              <w:rPr>
                <w:rFonts w:ascii="Arial" w:hAnsi="Arial" w:cs="Arial"/>
                <w:b/>
                <w:bCs/>
                <w:color w:val="000000"/>
                <w:sz w:val="22"/>
                <w:szCs w:val="22"/>
              </w:rPr>
              <w:t>£92.00</w:t>
            </w:r>
          </w:p>
        </w:tc>
      </w:tr>
      <w:tr w:rsidR="008C4B37" w:rsidRPr="008D6BB7" w14:paraId="448BBB82" w14:textId="77777777" w:rsidTr="008C4B37">
        <w:trPr>
          <w:trHeight w:val="300"/>
        </w:trPr>
        <w:tc>
          <w:tcPr>
            <w:tcW w:w="1347" w:type="pct"/>
            <w:tcBorders>
              <w:top w:val="nil"/>
              <w:left w:val="single" w:sz="4" w:space="0" w:color="auto"/>
              <w:bottom w:val="single" w:sz="4" w:space="0" w:color="auto"/>
              <w:right w:val="single" w:sz="4" w:space="0" w:color="auto"/>
            </w:tcBorders>
            <w:shd w:val="clear" w:color="auto" w:fill="auto"/>
            <w:noWrap/>
            <w:vAlign w:val="center"/>
            <w:hideMark/>
          </w:tcPr>
          <w:p w14:paraId="70961350" w14:textId="77777777" w:rsidR="008C4B37" w:rsidRPr="008D6BB7" w:rsidRDefault="008C4B37" w:rsidP="008C4B37">
            <w:pPr>
              <w:spacing w:line="276" w:lineRule="auto"/>
              <w:jc w:val="both"/>
              <w:rPr>
                <w:color w:val="000000" w:themeColor="text1"/>
              </w:rPr>
            </w:pPr>
            <w:r w:rsidRPr="008D6BB7">
              <w:rPr>
                <w:color w:val="000000" w:themeColor="text1"/>
              </w:rPr>
              <w:t>Annual average</w:t>
            </w:r>
          </w:p>
        </w:tc>
        <w:tc>
          <w:tcPr>
            <w:tcW w:w="7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6FD79A" w14:textId="33A54B4D" w:rsidR="008C4B37" w:rsidRPr="008C4B37" w:rsidRDefault="008C4B37" w:rsidP="008C4B37">
            <w:pPr>
              <w:spacing w:line="276" w:lineRule="auto"/>
              <w:jc w:val="right"/>
              <w:rPr>
                <w:color w:val="000000" w:themeColor="text1"/>
              </w:rPr>
            </w:pPr>
            <w:r w:rsidRPr="008C4B37">
              <w:rPr>
                <w:rFonts w:ascii="Arial" w:hAnsi="Arial" w:cs="Arial"/>
                <w:color w:val="000000"/>
                <w:sz w:val="22"/>
                <w:szCs w:val="22"/>
              </w:rPr>
              <w:t>£3,952</w:t>
            </w:r>
          </w:p>
        </w:tc>
        <w:tc>
          <w:tcPr>
            <w:tcW w:w="731" w:type="pct"/>
            <w:tcBorders>
              <w:top w:val="single" w:sz="4" w:space="0" w:color="auto"/>
              <w:left w:val="nil"/>
              <w:bottom w:val="single" w:sz="4" w:space="0" w:color="auto"/>
              <w:right w:val="single" w:sz="4" w:space="0" w:color="auto"/>
            </w:tcBorders>
            <w:shd w:val="clear" w:color="auto" w:fill="auto"/>
            <w:noWrap/>
            <w:vAlign w:val="center"/>
          </w:tcPr>
          <w:p w14:paraId="05AF0C63" w14:textId="178E2907" w:rsidR="008C4B37" w:rsidRPr="008C4B37" w:rsidRDefault="008C4B37" w:rsidP="008C4B37">
            <w:pPr>
              <w:spacing w:line="276" w:lineRule="auto"/>
              <w:jc w:val="right"/>
              <w:rPr>
                <w:color w:val="000000" w:themeColor="text1"/>
              </w:rPr>
            </w:pPr>
            <w:r w:rsidRPr="008C4B37">
              <w:rPr>
                <w:rFonts w:ascii="Arial" w:hAnsi="Arial" w:cs="Arial"/>
                <w:color w:val="000000"/>
                <w:sz w:val="22"/>
                <w:szCs w:val="22"/>
              </w:rPr>
              <w:t>£4,628</w:t>
            </w:r>
          </w:p>
        </w:tc>
        <w:tc>
          <w:tcPr>
            <w:tcW w:w="731" w:type="pct"/>
            <w:tcBorders>
              <w:top w:val="single" w:sz="4" w:space="0" w:color="auto"/>
              <w:left w:val="nil"/>
              <w:bottom w:val="single" w:sz="4" w:space="0" w:color="auto"/>
              <w:right w:val="single" w:sz="4" w:space="0" w:color="auto"/>
            </w:tcBorders>
            <w:shd w:val="clear" w:color="auto" w:fill="auto"/>
            <w:noWrap/>
            <w:vAlign w:val="center"/>
          </w:tcPr>
          <w:p w14:paraId="277AD27C" w14:textId="056C4B9A" w:rsidR="008C4B37" w:rsidRPr="008C4B37" w:rsidRDefault="008C4B37" w:rsidP="008C4B37">
            <w:pPr>
              <w:spacing w:line="276" w:lineRule="auto"/>
              <w:jc w:val="right"/>
              <w:rPr>
                <w:color w:val="000000" w:themeColor="text1"/>
              </w:rPr>
            </w:pPr>
            <w:r w:rsidRPr="008C4B37">
              <w:rPr>
                <w:rFonts w:ascii="Arial" w:hAnsi="Arial" w:cs="Arial"/>
                <w:color w:val="000000"/>
                <w:sz w:val="22"/>
                <w:szCs w:val="22"/>
              </w:rPr>
              <w:t>£5,200</w:t>
            </w:r>
          </w:p>
        </w:tc>
        <w:tc>
          <w:tcPr>
            <w:tcW w:w="731" w:type="pct"/>
            <w:tcBorders>
              <w:top w:val="single" w:sz="4" w:space="0" w:color="auto"/>
              <w:left w:val="nil"/>
              <w:bottom w:val="single" w:sz="4" w:space="0" w:color="auto"/>
              <w:right w:val="single" w:sz="4" w:space="0" w:color="auto"/>
            </w:tcBorders>
            <w:shd w:val="clear" w:color="auto" w:fill="auto"/>
            <w:noWrap/>
            <w:vAlign w:val="center"/>
          </w:tcPr>
          <w:p w14:paraId="2DE9B272" w14:textId="70E6D096" w:rsidR="008C4B37" w:rsidRPr="008C4B37" w:rsidRDefault="008C4B37" w:rsidP="008C4B37">
            <w:pPr>
              <w:spacing w:line="276" w:lineRule="auto"/>
              <w:jc w:val="right"/>
              <w:rPr>
                <w:color w:val="000000" w:themeColor="text1"/>
              </w:rPr>
            </w:pPr>
            <w:r w:rsidRPr="008C4B37">
              <w:rPr>
                <w:rFonts w:ascii="Arial" w:hAnsi="Arial" w:cs="Arial"/>
                <w:color w:val="000000"/>
                <w:sz w:val="22"/>
                <w:szCs w:val="22"/>
              </w:rPr>
              <w:t>£5,512</w:t>
            </w:r>
          </w:p>
        </w:tc>
        <w:tc>
          <w:tcPr>
            <w:tcW w:w="729" w:type="pct"/>
            <w:tcBorders>
              <w:top w:val="single" w:sz="4" w:space="0" w:color="auto"/>
              <w:left w:val="nil"/>
              <w:bottom w:val="single" w:sz="4" w:space="0" w:color="auto"/>
              <w:right w:val="single" w:sz="4" w:space="0" w:color="auto"/>
            </w:tcBorders>
            <w:shd w:val="clear" w:color="auto" w:fill="auto"/>
            <w:noWrap/>
            <w:vAlign w:val="center"/>
          </w:tcPr>
          <w:p w14:paraId="796F7941" w14:textId="7466A912" w:rsidR="008C4B37" w:rsidRPr="008C4B37" w:rsidRDefault="008C4B37" w:rsidP="008C4B37">
            <w:pPr>
              <w:spacing w:line="276" w:lineRule="auto"/>
              <w:jc w:val="right"/>
              <w:rPr>
                <w:b/>
                <w:bCs/>
                <w:color w:val="000000" w:themeColor="text1"/>
              </w:rPr>
            </w:pPr>
            <w:r w:rsidRPr="008C4B37">
              <w:rPr>
                <w:rFonts w:ascii="Arial" w:hAnsi="Arial" w:cs="Arial"/>
                <w:b/>
                <w:bCs/>
                <w:color w:val="000000"/>
                <w:sz w:val="22"/>
                <w:szCs w:val="22"/>
              </w:rPr>
              <w:t>£4,784</w:t>
            </w:r>
          </w:p>
        </w:tc>
      </w:tr>
      <w:tr w:rsidR="008C4B37" w:rsidRPr="008D6BB7" w14:paraId="754372C8" w14:textId="77777777" w:rsidTr="008C4B37">
        <w:trPr>
          <w:trHeight w:val="300"/>
        </w:trPr>
        <w:tc>
          <w:tcPr>
            <w:tcW w:w="1347" w:type="pct"/>
            <w:tcBorders>
              <w:top w:val="nil"/>
              <w:left w:val="single" w:sz="4" w:space="0" w:color="auto"/>
              <w:bottom w:val="single" w:sz="4" w:space="0" w:color="auto"/>
              <w:right w:val="single" w:sz="4" w:space="0" w:color="auto"/>
            </w:tcBorders>
            <w:shd w:val="clear" w:color="auto" w:fill="auto"/>
            <w:noWrap/>
            <w:vAlign w:val="center"/>
            <w:hideMark/>
          </w:tcPr>
          <w:p w14:paraId="3FA53EAC" w14:textId="77777777" w:rsidR="008C4B37" w:rsidRPr="008D6BB7" w:rsidRDefault="008C4B37" w:rsidP="008C4B37">
            <w:pPr>
              <w:spacing w:line="276" w:lineRule="auto"/>
              <w:jc w:val="both"/>
              <w:rPr>
                <w:color w:val="000000" w:themeColor="text1"/>
              </w:rPr>
            </w:pPr>
            <w:r w:rsidRPr="008D6BB7">
              <w:rPr>
                <w:color w:val="000000" w:themeColor="text1"/>
              </w:rPr>
              <w:t>Income needed</w:t>
            </w:r>
          </w:p>
        </w:tc>
        <w:tc>
          <w:tcPr>
            <w:tcW w:w="732" w:type="pct"/>
            <w:tcBorders>
              <w:top w:val="nil"/>
              <w:left w:val="single" w:sz="4" w:space="0" w:color="auto"/>
              <w:bottom w:val="single" w:sz="4" w:space="0" w:color="auto"/>
              <w:right w:val="single" w:sz="4" w:space="0" w:color="auto"/>
            </w:tcBorders>
            <w:shd w:val="clear" w:color="auto" w:fill="auto"/>
            <w:noWrap/>
            <w:vAlign w:val="center"/>
          </w:tcPr>
          <w:p w14:paraId="41621B29" w14:textId="09A8D15C" w:rsidR="008C4B37" w:rsidRPr="008C4B37" w:rsidRDefault="008C4B37" w:rsidP="008C4B37">
            <w:pPr>
              <w:spacing w:line="276" w:lineRule="auto"/>
              <w:jc w:val="right"/>
              <w:rPr>
                <w:color w:val="000000" w:themeColor="text1"/>
              </w:rPr>
            </w:pPr>
            <w:r w:rsidRPr="008C4B37">
              <w:rPr>
                <w:rFonts w:ascii="Arial" w:hAnsi="Arial" w:cs="Arial"/>
                <w:color w:val="000000"/>
                <w:sz w:val="22"/>
                <w:szCs w:val="22"/>
              </w:rPr>
              <w:t>£13,173</w:t>
            </w:r>
          </w:p>
        </w:tc>
        <w:tc>
          <w:tcPr>
            <w:tcW w:w="731" w:type="pct"/>
            <w:tcBorders>
              <w:top w:val="nil"/>
              <w:left w:val="nil"/>
              <w:bottom w:val="single" w:sz="4" w:space="0" w:color="auto"/>
              <w:right w:val="single" w:sz="4" w:space="0" w:color="auto"/>
            </w:tcBorders>
            <w:shd w:val="clear" w:color="auto" w:fill="auto"/>
            <w:noWrap/>
            <w:vAlign w:val="center"/>
          </w:tcPr>
          <w:p w14:paraId="6BB8C317" w14:textId="088E140D" w:rsidR="008C4B37" w:rsidRPr="008C4B37" w:rsidRDefault="008C4B37" w:rsidP="008C4B37">
            <w:pPr>
              <w:spacing w:line="276" w:lineRule="auto"/>
              <w:jc w:val="right"/>
              <w:rPr>
                <w:color w:val="000000" w:themeColor="text1"/>
              </w:rPr>
            </w:pPr>
            <w:r w:rsidRPr="008C4B37">
              <w:rPr>
                <w:rFonts w:ascii="Arial" w:hAnsi="Arial" w:cs="Arial"/>
                <w:color w:val="000000"/>
                <w:sz w:val="22"/>
                <w:szCs w:val="22"/>
              </w:rPr>
              <w:t>£15,427</w:t>
            </w:r>
          </w:p>
        </w:tc>
        <w:tc>
          <w:tcPr>
            <w:tcW w:w="731" w:type="pct"/>
            <w:tcBorders>
              <w:top w:val="nil"/>
              <w:left w:val="nil"/>
              <w:bottom w:val="single" w:sz="4" w:space="0" w:color="auto"/>
              <w:right w:val="single" w:sz="4" w:space="0" w:color="auto"/>
            </w:tcBorders>
            <w:shd w:val="clear" w:color="auto" w:fill="auto"/>
            <w:noWrap/>
            <w:vAlign w:val="center"/>
          </w:tcPr>
          <w:p w14:paraId="2A214956" w14:textId="2356E3F8" w:rsidR="008C4B37" w:rsidRPr="008C4B37" w:rsidRDefault="008C4B37" w:rsidP="008C4B37">
            <w:pPr>
              <w:spacing w:line="276" w:lineRule="auto"/>
              <w:jc w:val="right"/>
              <w:rPr>
                <w:color w:val="000000" w:themeColor="text1"/>
              </w:rPr>
            </w:pPr>
            <w:r w:rsidRPr="008C4B37">
              <w:rPr>
                <w:rFonts w:ascii="Arial" w:hAnsi="Arial" w:cs="Arial"/>
                <w:color w:val="000000"/>
                <w:sz w:val="22"/>
                <w:szCs w:val="22"/>
              </w:rPr>
              <w:t>£17,333</w:t>
            </w:r>
          </w:p>
        </w:tc>
        <w:tc>
          <w:tcPr>
            <w:tcW w:w="731" w:type="pct"/>
            <w:tcBorders>
              <w:top w:val="nil"/>
              <w:left w:val="nil"/>
              <w:bottom w:val="single" w:sz="4" w:space="0" w:color="auto"/>
              <w:right w:val="single" w:sz="4" w:space="0" w:color="auto"/>
            </w:tcBorders>
            <w:shd w:val="clear" w:color="auto" w:fill="auto"/>
            <w:noWrap/>
            <w:vAlign w:val="center"/>
          </w:tcPr>
          <w:p w14:paraId="5A072502" w14:textId="29412425" w:rsidR="008C4B37" w:rsidRPr="008C4B37" w:rsidRDefault="008C4B37" w:rsidP="008C4B37">
            <w:pPr>
              <w:spacing w:line="276" w:lineRule="auto"/>
              <w:jc w:val="right"/>
              <w:rPr>
                <w:color w:val="000000" w:themeColor="text1"/>
              </w:rPr>
            </w:pPr>
            <w:r w:rsidRPr="008C4B37">
              <w:rPr>
                <w:rFonts w:ascii="Arial" w:hAnsi="Arial" w:cs="Arial"/>
                <w:color w:val="000000"/>
                <w:sz w:val="22"/>
                <w:szCs w:val="22"/>
              </w:rPr>
              <w:t>£18,373</w:t>
            </w:r>
          </w:p>
        </w:tc>
        <w:tc>
          <w:tcPr>
            <w:tcW w:w="729" w:type="pct"/>
            <w:tcBorders>
              <w:top w:val="nil"/>
              <w:left w:val="nil"/>
              <w:bottom w:val="single" w:sz="4" w:space="0" w:color="auto"/>
              <w:right w:val="single" w:sz="4" w:space="0" w:color="auto"/>
            </w:tcBorders>
            <w:shd w:val="clear" w:color="auto" w:fill="auto"/>
            <w:noWrap/>
            <w:vAlign w:val="center"/>
          </w:tcPr>
          <w:p w14:paraId="5F23A37A" w14:textId="036971BD" w:rsidR="008C4B37" w:rsidRPr="008C4B37" w:rsidRDefault="008C4B37" w:rsidP="008C4B37">
            <w:pPr>
              <w:spacing w:line="276" w:lineRule="auto"/>
              <w:jc w:val="right"/>
              <w:rPr>
                <w:b/>
                <w:bCs/>
                <w:color w:val="000000" w:themeColor="text1"/>
              </w:rPr>
            </w:pPr>
            <w:r w:rsidRPr="008C4B37">
              <w:rPr>
                <w:rFonts w:ascii="Arial" w:hAnsi="Arial" w:cs="Arial"/>
                <w:b/>
                <w:bCs/>
                <w:color w:val="000000"/>
                <w:sz w:val="22"/>
                <w:szCs w:val="22"/>
              </w:rPr>
              <w:t>£15,947</w:t>
            </w:r>
          </w:p>
        </w:tc>
      </w:tr>
    </w:tbl>
    <w:p w14:paraId="37975F56" w14:textId="77777777" w:rsidR="00201C53" w:rsidRPr="008D6BB7" w:rsidRDefault="00201C53" w:rsidP="00252C91">
      <w:pPr>
        <w:pStyle w:val="Source"/>
        <w:jc w:val="both"/>
      </w:pPr>
      <w:r>
        <w:t>Source: Homes England</w:t>
      </w:r>
      <w:r w:rsidRPr="008D6BB7">
        <w:t>, AECOM Calculations</w:t>
      </w:r>
    </w:p>
    <w:p w14:paraId="453149AC" w14:textId="77777777" w:rsidR="00201C53" w:rsidRPr="009E1BB6" w:rsidRDefault="00201C53" w:rsidP="00252C91">
      <w:pPr>
        <w:pStyle w:val="Appendix3"/>
        <w:jc w:val="both"/>
        <w:rPr>
          <w:color w:val="auto"/>
        </w:rPr>
      </w:pPr>
      <w:bookmarkStart w:id="216" w:name="_Toc102731926"/>
      <w:r w:rsidRPr="009E1BB6">
        <w:rPr>
          <w:color w:val="auto"/>
        </w:rPr>
        <w:t>Affordable home ownership</w:t>
      </w:r>
      <w:bookmarkEnd w:id="216"/>
    </w:p>
    <w:p w14:paraId="0EE426C0" w14:textId="77777777" w:rsidR="00201C53" w:rsidRPr="009E1BB6" w:rsidRDefault="00201C53" w:rsidP="00252C91">
      <w:pPr>
        <w:pStyle w:val="AppendixText"/>
        <w:jc w:val="both"/>
        <w:rPr>
          <w:bCs/>
        </w:rPr>
      </w:pPr>
      <w:r w:rsidRPr="009E1BB6">
        <w:t xml:space="preserve">Affordable home ownership tenures include products for sale and rent provided at a cost above social rent, but below market levels. The three most widely available are discounted market housing (a subset of which is the new First Homes product), shared ownership, and Rent to Buy. These are considered in turn below. </w:t>
      </w:r>
    </w:p>
    <w:p w14:paraId="2A417B89" w14:textId="77777777" w:rsidR="00201C53" w:rsidRPr="009E1BB6" w:rsidRDefault="00201C53" w:rsidP="00252C91">
      <w:pPr>
        <w:pStyle w:val="Heading4"/>
        <w:jc w:val="both"/>
        <w:rPr>
          <w:color w:val="auto"/>
        </w:rPr>
      </w:pPr>
      <w:bookmarkStart w:id="217" w:name="_Toc518220506"/>
      <w:bookmarkStart w:id="218" w:name="_Toc521492009"/>
      <w:bookmarkStart w:id="219" w:name="_Toc536797464"/>
      <w:r w:rsidRPr="009E1BB6">
        <w:rPr>
          <w:color w:val="auto"/>
        </w:rPr>
        <w:t>First Homes</w:t>
      </w:r>
    </w:p>
    <w:p w14:paraId="63E3335A" w14:textId="77777777" w:rsidR="00E755AB" w:rsidRPr="00C60545" w:rsidRDefault="00E755AB" w:rsidP="00E755AB">
      <w:pPr>
        <w:pStyle w:val="AppendixText"/>
        <w:ind w:left="851" w:hanging="851"/>
        <w:jc w:val="both"/>
        <w:rPr>
          <w:bCs/>
        </w:rPr>
      </w:pPr>
      <w:bookmarkStart w:id="220" w:name="_Hlk118455357"/>
      <w:r w:rsidRPr="00C60545">
        <w:rPr>
          <w:bCs/>
        </w:rPr>
        <w:lastRenderedPageBreak/>
        <w:t xml:space="preserve">Discounted market sale homes are affordable home ownership products which offer a discount of at least 20% on market values. </w:t>
      </w:r>
    </w:p>
    <w:p w14:paraId="1E35F165" w14:textId="77777777" w:rsidR="00E755AB" w:rsidRPr="00C60545" w:rsidRDefault="00E755AB" w:rsidP="00E755AB">
      <w:pPr>
        <w:pStyle w:val="AppendixText"/>
        <w:ind w:left="851" w:hanging="851"/>
        <w:jc w:val="both"/>
        <w:rPr>
          <w:bCs/>
        </w:rPr>
      </w:pPr>
      <w:r w:rsidRPr="00C60545">
        <w:t>First Homes should be available to buy with a minimum discount of 30% below their full market value (i.e. the value of an equivalent new home</w:t>
      </w:r>
      <w:proofErr w:type="gramStart"/>
      <w:r w:rsidRPr="00C60545">
        <w:t>);</w:t>
      </w:r>
      <w:proofErr w:type="gramEnd"/>
    </w:p>
    <w:p w14:paraId="167A602C" w14:textId="77777777" w:rsidR="00E755AB" w:rsidRPr="00C60545" w:rsidRDefault="00E755AB" w:rsidP="00E755AB">
      <w:pPr>
        <w:pStyle w:val="ListBullet"/>
        <w:jc w:val="both"/>
      </w:pPr>
      <w:r w:rsidRPr="00C60545">
        <w:t xml:space="preserve">The discount level can be set higher than 30% – at 40% or 50% – where this can be suitably evidenced. The setting and justifying of discount levels can happen at neighbourhood as well as local authority </w:t>
      </w:r>
      <w:proofErr w:type="gramStart"/>
      <w:r w:rsidRPr="00C60545">
        <w:t>scale;</w:t>
      </w:r>
      <w:proofErr w:type="gramEnd"/>
    </w:p>
    <w:p w14:paraId="6FC83F77" w14:textId="77777777" w:rsidR="00E755AB" w:rsidRPr="00C60545" w:rsidRDefault="00E755AB" w:rsidP="00E755AB">
      <w:pPr>
        <w:pStyle w:val="ListBullet"/>
        <w:jc w:val="both"/>
      </w:pPr>
      <w:r w:rsidRPr="00C60545">
        <w:t xml:space="preserve">After the discount is applied the initial sale price must not exceed £250,000 (or £420,000 in Greater London), and lower caps can be set </w:t>
      </w:r>
      <w:proofErr w:type="gramStart"/>
      <w:r w:rsidRPr="00C60545">
        <w:t>locally;</w:t>
      </w:r>
      <w:proofErr w:type="gramEnd"/>
    </w:p>
    <w:p w14:paraId="70379D02" w14:textId="77777777" w:rsidR="00E755AB" w:rsidRPr="00C60545" w:rsidRDefault="00E755AB" w:rsidP="00E755AB">
      <w:pPr>
        <w:pStyle w:val="ListBullet"/>
        <w:jc w:val="both"/>
      </w:pPr>
      <w:r w:rsidRPr="00C60545">
        <w:t xml:space="preserve">Purchasers must be first-time buyers with an income less than £80,000 (or £90,000 in Greater London), and First Homes can be prioritised for local people and/or key </w:t>
      </w:r>
      <w:proofErr w:type="gramStart"/>
      <w:r w:rsidRPr="00C60545">
        <w:t>workers;</w:t>
      </w:r>
      <w:proofErr w:type="gramEnd"/>
      <w:r w:rsidRPr="00C60545">
        <w:t xml:space="preserve"> </w:t>
      </w:r>
    </w:p>
    <w:p w14:paraId="208F3B68" w14:textId="77777777" w:rsidR="00E755AB" w:rsidRPr="00C60545" w:rsidRDefault="00E755AB" w:rsidP="00E755AB">
      <w:pPr>
        <w:pStyle w:val="ListBullet"/>
        <w:jc w:val="both"/>
      </w:pPr>
      <w:r w:rsidRPr="00C60545">
        <w:t xml:space="preserve">They will be subject to legal restrictions ensuring the discount is retained for future occupants, and renting out or sub-letting will not normally be </w:t>
      </w:r>
      <w:proofErr w:type="gramStart"/>
      <w:r w:rsidRPr="00C60545">
        <w:t>permitted;</w:t>
      </w:r>
      <w:proofErr w:type="gramEnd"/>
    </w:p>
    <w:p w14:paraId="31E6CAFE" w14:textId="77777777" w:rsidR="00E755AB" w:rsidRPr="00C60545" w:rsidRDefault="00E755AB" w:rsidP="00E755AB">
      <w:pPr>
        <w:pStyle w:val="ListBullet"/>
        <w:jc w:val="both"/>
      </w:pPr>
      <w:r w:rsidRPr="00C60545">
        <w:t>In addition to setting the discount level, local authorities and neighbourhood planning groups can apply additional criteria, such as a lower income cap, local connection test or prioritisation for key workers through adopted plans, emerging policy or Supplementary Planning Documents.</w:t>
      </w:r>
    </w:p>
    <w:bookmarkEnd w:id="220"/>
    <w:p w14:paraId="161EE83B" w14:textId="536C7DA2" w:rsidR="00201C53" w:rsidRPr="009E1BB6" w:rsidRDefault="00201C53" w:rsidP="00252C91">
      <w:pPr>
        <w:pStyle w:val="AppendixText"/>
        <w:jc w:val="both"/>
        <w:rPr>
          <w:bCs/>
        </w:rPr>
      </w:pPr>
      <w:r w:rsidRPr="009E1BB6">
        <w:t xml:space="preserve">The starting point for considering whether </w:t>
      </w:r>
      <w:r w:rsidR="00E755AB">
        <w:t>Discount Market Sale/</w:t>
      </w:r>
      <w:r w:rsidRPr="009E1BB6">
        <w:t>First Homes are affordable is the estimated cost of new build entry-level housing in the NA noted above of £</w:t>
      </w:r>
      <w:r w:rsidR="001C4B17">
        <w:t>184</w:t>
      </w:r>
      <w:r w:rsidR="009D758C">
        <w:t>,900</w:t>
      </w:r>
      <w:r w:rsidRPr="009E1BB6">
        <w:t xml:space="preserve">. </w:t>
      </w:r>
      <w:bookmarkStart w:id="221" w:name="_Hlk49950878"/>
    </w:p>
    <w:p w14:paraId="3ABFCB44" w14:textId="77777777" w:rsidR="00201C53" w:rsidRPr="009E1BB6" w:rsidRDefault="00201C53" w:rsidP="00252C91">
      <w:pPr>
        <w:pStyle w:val="AppendixText"/>
        <w:jc w:val="both"/>
        <w:rPr>
          <w:bCs/>
        </w:rPr>
      </w:pPr>
      <w:r w:rsidRPr="009E1BB6">
        <w:t>For the minimum discount of 30% the purchase threshold can be calculated as follows:</w:t>
      </w:r>
    </w:p>
    <w:p w14:paraId="6AE5D381" w14:textId="2252B8F8" w:rsidR="00201C53" w:rsidRPr="00121BD0" w:rsidRDefault="00201C53" w:rsidP="00252C91">
      <w:pPr>
        <w:pStyle w:val="ListBullet"/>
        <w:jc w:val="both"/>
      </w:pPr>
      <w:r w:rsidRPr="009E1BB6">
        <w:t xml:space="preserve">Value of </w:t>
      </w:r>
      <w:r w:rsidRPr="00121BD0">
        <w:t xml:space="preserve">a new home (estimated NA new build entry-level) = </w:t>
      </w:r>
      <w:proofErr w:type="gramStart"/>
      <w:r w:rsidRPr="00121BD0">
        <w:t>£</w:t>
      </w:r>
      <w:r w:rsidR="009D758C" w:rsidRPr="00121BD0">
        <w:t>184,900</w:t>
      </w:r>
      <w:r w:rsidRPr="00121BD0">
        <w:t>;</w:t>
      </w:r>
      <w:proofErr w:type="gramEnd"/>
    </w:p>
    <w:p w14:paraId="0DEFF9F9" w14:textId="66793414" w:rsidR="00201C53" w:rsidRPr="00121BD0" w:rsidRDefault="00201C53" w:rsidP="00252C91">
      <w:pPr>
        <w:pStyle w:val="ListBullet"/>
        <w:jc w:val="both"/>
      </w:pPr>
      <w:r w:rsidRPr="00121BD0">
        <w:t xml:space="preserve">Discounted by 30% = </w:t>
      </w:r>
      <w:proofErr w:type="gramStart"/>
      <w:r w:rsidRPr="00121BD0">
        <w:rPr>
          <w:szCs w:val="24"/>
        </w:rPr>
        <w:t>£</w:t>
      </w:r>
      <w:r w:rsidR="009D758C" w:rsidRPr="00121BD0">
        <w:rPr>
          <w:szCs w:val="24"/>
        </w:rPr>
        <w:t>129,400</w:t>
      </w:r>
      <w:r w:rsidRPr="00121BD0">
        <w:rPr>
          <w:szCs w:val="24"/>
        </w:rPr>
        <w:t>;</w:t>
      </w:r>
      <w:proofErr w:type="gramEnd"/>
    </w:p>
    <w:p w14:paraId="4A556D8B" w14:textId="4F377FF2" w:rsidR="00201C53" w:rsidRPr="00121BD0" w:rsidRDefault="00201C53" w:rsidP="00252C91">
      <w:pPr>
        <w:pStyle w:val="ListBullet"/>
        <w:jc w:val="both"/>
      </w:pPr>
      <w:r w:rsidRPr="00121BD0">
        <w:t xml:space="preserve">Purchase deposit at 10% of value = </w:t>
      </w:r>
      <w:proofErr w:type="gramStart"/>
      <w:r w:rsidRPr="00121BD0">
        <w:rPr>
          <w:szCs w:val="24"/>
        </w:rPr>
        <w:t>£</w:t>
      </w:r>
      <w:r w:rsidR="009D758C" w:rsidRPr="00121BD0">
        <w:rPr>
          <w:szCs w:val="24"/>
        </w:rPr>
        <w:t>12,940</w:t>
      </w:r>
      <w:r w:rsidRPr="00121BD0">
        <w:t>;</w:t>
      </w:r>
      <w:proofErr w:type="gramEnd"/>
    </w:p>
    <w:p w14:paraId="4A584E27" w14:textId="64FC4471" w:rsidR="00201C53" w:rsidRPr="00121BD0" w:rsidRDefault="00201C53" w:rsidP="00252C91">
      <w:pPr>
        <w:pStyle w:val="ListBullet"/>
        <w:jc w:val="both"/>
      </w:pPr>
      <w:r w:rsidRPr="00121BD0">
        <w:t xml:space="preserve">Value of dwelling for mortgage purposes = </w:t>
      </w:r>
      <w:proofErr w:type="gramStart"/>
      <w:r w:rsidRPr="00121BD0">
        <w:rPr>
          <w:szCs w:val="24"/>
        </w:rPr>
        <w:t>£</w:t>
      </w:r>
      <w:r w:rsidR="009D758C" w:rsidRPr="00121BD0">
        <w:rPr>
          <w:szCs w:val="24"/>
        </w:rPr>
        <w:t>116,500</w:t>
      </w:r>
      <w:r w:rsidRPr="00121BD0">
        <w:t>;</w:t>
      </w:r>
      <w:proofErr w:type="gramEnd"/>
    </w:p>
    <w:p w14:paraId="38BB1425" w14:textId="5CFA0D5B" w:rsidR="00201C53" w:rsidRPr="00121BD0" w:rsidRDefault="00201C53" w:rsidP="00252C91">
      <w:pPr>
        <w:pStyle w:val="ListBullet"/>
        <w:jc w:val="both"/>
      </w:pPr>
      <w:r w:rsidRPr="00121BD0">
        <w:t xml:space="preserve">Divided by loan to income ratio of 3.5 = purchase threshold of </w:t>
      </w:r>
      <w:r w:rsidRPr="00121BD0">
        <w:rPr>
          <w:szCs w:val="24"/>
        </w:rPr>
        <w:t>£</w:t>
      </w:r>
      <w:r w:rsidR="009D758C" w:rsidRPr="00121BD0">
        <w:rPr>
          <w:szCs w:val="24"/>
        </w:rPr>
        <w:t>33,300</w:t>
      </w:r>
      <w:r w:rsidRPr="00121BD0">
        <w:rPr>
          <w:szCs w:val="24"/>
        </w:rPr>
        <w:t>.</w:t>
      </w:r>
    </w:p>
    <w:p w14:paraId="7C00B172" w14:textId="33C5DC39" w:rsidR="00201C53" w:rsidRPr="00121BD0" w:rsidRDefault="00201C53" w:rsidP="00252C91">
      <w:pPr>
        <w:pStyle w:val="AppendixText"/>
        <w:jc w:val="both"/>
        <w:rPr>
          <w:bCs/>
        </w:rPr>
      </w:pPr>
      <w:r w:rsidRPr="00121BD0">
        <w:t>The income thresholds analysis in the Affordability and Affordable Housing chapter also compares local incomes with the costs of a 40% and 50% discounted First Home. This would require an income threshold of £</w:t>
      </w:r>
      <w:r w:rsidR="009D758C" w:rsidRPr="00121BD0">
        <w:t>28,530</w:t>
      </w:r>
      <w:r w:rsidRPr="00121BD0">
        <w:t xml:space="preserve"> and £</w:t>
      </w:r>
      <w:r w:rsidR="002712F2" w:rsidRPr="00121BD0">
        <w:t>23,780</w:t>
      </w:r>
      <w:r w:rsidRPr="00121BD0">
        <w:t xml:space="preserve"> respectively.</w:t>
      </w:r>
    </w:p>
    <w:p w14:paraId="41A452BB" w14:textId="489E5903" w:rsidR="00201C53" w:rsidRPr="00121BD0" w:rsidRDefault="00201C53" w:rsidP="00252C91">
      <w:pPr>
        <w:pStyle w:val="AppendixText"/>
        <w:jc w:val="both"/>
        <w:rPr>
          <w:bCs/>
        </w:rPr>
      </w:pPr>
      <w:proofErr w:type="gramStart"/>
      <w:r w:rsidRPr="00121BD0">
        <w:t>All of</w:t>
      </w:r>
      <w:proofErr w:type="gramEnd"/>
      <w:r w:rsidRPr="00121BD0">
        <w:t xml:space="preserve"> the income thresholds calculated here for First Homes are below the cap of £80,000 above which households are not eligible. </w:t>
      </w:r>
    </w:p>
    <w:p w14:paraId="5806B490" w14:textId="518628B9" w:rsidR="00201C53" w:rsidRPr="009E1BB6" w:rsidRDefault="00201C53" w:rsidP="00252C91">
      <w:pPr>
        <w:pStyle w:val="AppendixText"/>
        <w:jc w:val="both"/>
        <w:rPr>
          <w:bCs/>
        </w:rPr>
      </w:pPr>
      <w:r w:rsidRPr="009E1BB6">
        <w:t xml:space="preserve">Note that discounted market sale homes may be unviable to develop if the discounted price is close to (or below) build costs. Build costs vary across the country but as an illustration, the build cost for a </w:t>
      </w:r>
      <w:proofErr w:type="gramStart"/>
      <w:r w:rsidRPr="009E1BB6">
        <w:t>2 bedroom</w:t>
      </w:r>
      <w:proofErr w:type="gramEnd"/>
      <w:r w:rsidRPr="009E1BB6">
        <w:t xml:space="preserve"> home (assuming 70 sq. m and a build cost </w:t>
      </w:r>
      <w:r w:rsidRPr="009E1BB6">
        <w:lastRenderedPageBreak/>
        <w:t>of £1,750 per sq. m</w:t>
      </w:r>
      <w:r w:rsidRPr="009E1BB6">
        <w:footnoteReference w:id="17"/>
      </w:r>
      <w:r w:rsidRPr="009E1BB6">
        <w:t xml:space="preserve">) would be around £122,500. This </w:t>
      </w:r>
      <w:r w:rsidRPr="002712F2">
        <w:t xml:space="preserve">cost excludes any land value or developer profit. This </w:t>
      </w:r>
      <w:r w:rsidR="002712F2" w:rsidRPr="002712F2">
        <w:t xml:space="preserve">could </w:t>
      </w:r>
      <w:r w:rsidRPr="002712F2">
        <w:t xml:space="preserve">be an issue in </w:t>
      </w:r>
      <w:r w:rsidR="00D143F2" w:rsidRPr="002712F2">
        <w:t>Consett</w:t>
      </w:r>
      <w:r w:rsidR="002712F2">
        <w:t xml:space="preserve">, especially if </w:t>
      </w:r>
      <w:r w:rsidR="008C5B87">
        <w:t>higher discounts (40% or 50%) are required</w:t>
      </w:r>
      <w:r w:rsidRPr="002712F2">
        <w:t>.</w:t>
      </w:r>
    </w:p>
    <w:p w14:paraId="1449CFFB" w14:textId="31A616A1" w:rsidR="00201C53" w:rsidRPr="009E1BB6" w:rsidRDefault="00201C53" w:rsidP="00252C91">
      <w:pPr>
        <w:pStyle w:val="AppendixText"/>
        <w:jc w:val="both"/>
        <w:rPr>
          <w:bCs/>
        </w:rPr>
      </w:pPr>
      <w:r w:rsidRPr="009E1BB6">
        <w:t xml:space="preserve">Table C-3 shows the discount required for First Homes to be affordable to the three income groups. The cost of a typical First Home is calculated using an estimate for new build entry-level housing in the NA. However, it is worth thinking about First Homes in relation to the cost of new build prices in the wider area, as well as median and entry-level existing prices locally to get a more complete picture. The discount levels required for these alternative benchmarks are given below. </w:t>
      </w:r>
    </w:p>
    <w:p w14:paraId="6EBC9796" w14:textId="77777777" w:rsidR="00201C53" w:rsidRPr="009E1BB6" w:rsidRDefault="00201C53" w:rsidP="00252C91">
      <w:pPr>
        <w:pStyle w:val="Caption"/>
        <w:spacing w:before="120"/>
        <w:jc w:val="both"/>
        <w:rPr>
          <w:color w:val="auto"/>
        </w:rPr>
      </w:pPr>
      <w:r w:rsidRPr="009E1BB6">
        <w:rPr>
          <w:color w:val="auto"/>
        </w:rPr>
        <w:t>Table C-3: Discount on sale price required for households to afford First Homes</w:t>
      </w:r>
    </w:p>
    <w:tbl>
      <w:tblPr>
        <w:tblW w:w="9923" w:type="dxa"/>
        <w:tblInd w:w="-5" w:type="dxa"/>
        <w:tblLayout w:type="fixed"/>
        <w:tblLook w:val="04A0" w:firstRow="1" w:lastRow="0" w:firstColumn="1" w:lastColumn="0" w:noHBand="0" w:noVBand="1"/>
      </w:tblPr>
      <w:tblGrid>
        <w:gridCol w:w="2345"/>
        <w:gridCol w:w="2360"/>
        <w:gridCol w:w="1739"/>
        <w:gridCol w:w="1739"/>
        <w:gridCol w:w="1740"/>
      </w:tblGrid>
      <w:tr w:rsidR="00201C53" w:rsidRPr="00D462A2" w14:paraId="1D91DCD6" w14:textId="77777777" w:rsidTr="00A27979">
        <w:trPr>
          <w:trHeight w:val="300"/>
        </w:trPr>
        <w:tc>
          <w:tcPr>
            <w:tcW w:w="234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541059AA" w14:textId="77777777" w:rsidR="00201C53" w:rsidRPr="00D462A2" w:rsidRDefault="00201C53" w:rsidP="00302858">
            <w:pPr>
              <w:spacing w:line="276" w:lineRule="auto"/>
              <w:rPr>
                <w:b/>
                <w:bCs/>
                <w:color w:val="FFFFFF"/>
              </w:rPr>
            </w:pPr>
            <w:r>
              <w:rPr>
                <w:b/>
                <w:bCs/>
                <w:color w:val="FFFFFF"/>
              </w:rPr>
              <w:t>House price benchmark</w:t>
            </w:r>
          </w:p>
        </w:tc>
        <w:tc>
          <w:tcPr>
            <w:tcW w:w="2360" w:type="dxa"/>
            <w:tcBorders>
              <w:top w:val="single" w:sz="4" w:space="0" w:color="auto"/>
              <w:left w:val="nil"/>
              <w:bottom w:val="single" w:sz="4" w:space="0" w:color="auto"/>
              <w:right w:val="single" w:sz="4" w:space="0" w:color="auto"/>
            </w:tcBorders>
            <w:shd w:val="clear" w:color="000000" w:fill="000000"/>
            <w:noWrap/>
            <w:vAlign w:val="center"/>
            <w:hideMark/>
          </w:tcPr>
          <w:p w14:paraId="124CB87C" w14:textId="77777777" w:rsidR="00201C53" w:rsidRPr="00D462A2" w:rsidRDefault="00201C53" w:rsidP="00252C91">
            <w:pPr>
              <w:spacing w:line="276" w:lineRule="auto"/>
              <w:jc w:val="both"/>
              <w:rPr>
                <w:b/>
                <w:bCs/>
                <w:color w:val="FFFFFF"/>
              </w:rPr>
            </w:pPr>
            <w:r w:rsidRPr="00D462A2">
              <w:rPr>
                <w:b/>
                <w:bCs/>
                <w:color w:val="FFFFFF"/>
              </w:rPr>
              <w:t> </w:t>
            </w:r>
          </w:p>
        </w:tc>
        <w:tc>
          <w:tcPr>
            <w:tcW w:w="1739" w:type="dxa"/>
            <w:tcBorders>
              <w:top w:val="single" w:sz="4" w:space="0" w:color="auto"/>
              <w:left w:val="nil"/>
              <w:bottom w:val="single" w:sz="4" w:space="0" w:color="auto"/>
              <w:right w:val="single" w:sz="4" w:space="0" w:color="auto"/>
            </w:tcBorders>
            <w:shd w:val="clear" w:color="000000" w:fill="000000"/>
            <w:noWrap/>
            <w:vAlign w:val="center"/>
            <w:hideMark/>
          </w:tcPr>
          <w:p w14:paraId="244E2BD7" w14:textId="77777777" w:rsidR="00201C53" w:rsidRPr="00D462A2" w:rsidRDefault="00201C53" w:rsidP="00302858">
            <w:pPr>
              <w:spacing w:line="276" w:lineRule="auto"/>
              <w:jc w:val="center"/>
              <w:rPr>
                <w:b/>
                <w:bCs/>
                <w:color w:val="FFFFFF"/>
              </w:rPr>
            </w:pPr>
            <w:r w:rsidRPr="00D462A2">
              <w:rPr>
                <w:b/>
                <w:bCs/>
                <w:color w:val="FFFFFF"/>
              </w:rPr>
              <w:t xml:space="preserve">Mean </w:t>
            </w:r>
            <w:r>
              <w:rPr>
                <w:b/>
                <w:bCs/>
                <w:color w:val="FFFFFF"/>
              </w:rPr>
              <w:t>household i</w:t>
            </w:r>
            <w:r w:rsidRPr="00D462A2">
              <w:rPr>
                <w:b/>
                <w:bCs/>
                <w:color w:val="FFFFFF"/>
              </w:rPr>
              <w:t>ncome</w:t>
            </w:r>
          </w:p>
        </w:tc>
        <w:tc>
          <w:tcPr>
            <w:tcW w:w="1739" w:type="dxa"/>
            <w:tcBorders>
              <w:top w:val="single" w:sz="4" w:space="0" w:color="auto"/>
              <w:left w:val="nil"/>
              <w:bottom w:val="single" w:sz="4" w:space="0" w:color="auto"/>
              <w:right w:val="single" w:sz="4" w:space="0" w:color="auto"/>
            </w:tcBorders>
            <w:shd w:val="clear" w:color="000000" w:fill="000000"/>
            <w:noWrap/>
            <w:vAlign w:val="center"/>
            <w:hideMark/>
          </w:tcPr>
          <w:p w14:paraId="65F492D2" w14:textId="77777777" w:rsidR="00201C53" w:rsidRPr="00D462A2" w:rsidRDefault="00201C53" w:rsidP="00302858">
            <w:pPr>
              <w:spacing w:line="276" w:lineRule="auto"/>
              <w:jc w:val="center"/>
              <w:rPr>
                <w:b/>
                <w:bCs/>
                <w:color w:val="FFFFFF"/>
              </w:rPr>
            </w:pPr>
            <w:r>
              <w:rPr>
                <w:b/>
                <w:bCs/>
                <w:color w:val="FFFFFF"/>
              </w:rPr>
              <w:t>Single LQ earner</w:t>
            </w:r>
          </w:p>
        </w:tc>
        <w:tc>
          <w:tcPr>
            <w:tcW w:w="1740" w:type="dxa"/>
            <w:tcBorders>
              <w:top w:val="single" w:sz="4" w:space="0" w:color="auto"/>
              <w:left w:val="nil"/>
              <w:bottom w:val="single" w:sz="4" w:space="0" w:color="auto"/>
              <w:right w:val="single" w:sz="4" w:space="0" w:color="auto"/>
            </w:tcBorders>
            <w:shd w:val="clear" w:color="000000" w:fill="000000"/>
            <w:noWrap/>
            <w:vAlign w:val="center"/>
            <w:hideMark/>
          </w:tcPr>
          <w:p w14:paraId="72B17992" w14:textId="77777777" w:rsidR="00201C53" w:rsidRPr="00D462A2" w:rsidRDefault="00201C53" w:rsidP="00302858">
            <w:pPr>
              <w:spacing w:line="276" w:lineRule="auto"/>
              <w:jc w:val="center"/>
              <w:rPr>
                <w:b/>
                <w:bCs/>
                <w:color w:val="FFFFFF"/>
              </w:rPr>
            </w:pPr>
            <w:r>
              <w:rPr>
                <w:b/>
                <w:bCs/>
                <w:color w:val="FFFFFF"/>
              </w:rPr>
              <w:t>Dual LQ earning household</w:t>
            </w:r>
          </w:p>
        </w:tc>
      </w:tr>
      <w:tr w:rsidR="00D00916" w:rsidRPr="00D462A2" w14:paraId="792D7F51" w14:textId="77777777" w:rsidTr="004A7B3F">
        <w:trPr>
          <w:trHeight w:val="300"/>
        </w:trPr>
        <w:tc>
          <w:tcPr>
            <w:tcW w:w="47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D1CEE3" w14:textId="77777777" w:rsidR="00D00916" w:rsidRPr="00D462A2" w:rsidRDefault="00D00916" w:rsidP="00D00916">
            <w:pPr>
              <w:spacing w:line="276" w:lineRule="auto"/>
              <w:jc w:val="both"/>
            </w:pPr>
            <w:r w:rsidRPr="009045E5">
              <w:t>NA median house price</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center"/>
          </w:tcPr>
          <w:p w14:paraId="2EFACFCE" w14:textId="5B9B2511" w:rsidR="00D00916" w:rsidRPr="00D00916" w:rsidRDefault="00D00916" w:rsidP="00D00916">
            <w:pPr>
              <w:spacing w:line="276" w:lineRule="auto"/>
              <w:jc w:val="right"/>
              <w:rPr>
                <w:szCs w:val="24"/>
              </w:rPr>
            </w:pPr>
            <w:r w:rsidRPr="00D00916">
              <w:rPr>
                <w:rFonts w:ascii="Arial" w:hAnsi="Arial" w:cs="Arial"/>
                <w:color w:val="000000"/>
                <w:sz w:val="22"/>
                <w:szCs w:val="22"/>
              </w:rPr>
              <w:t>-18%</w:t>
            </w:r>
          </w:p>
        </w:tc>
        <w:tc>
          <w:tcPr>
            <w:tcW w:w="1739" w:type="dxa"/>
            <w:tcBorders>
              <w:top w:val="single" w:sz="4" w:space="0" w:color="auto"/>
              <w:left w:val="nil"/>
              <w:bottom w:val="single" w:sz="4" w:space="0" w:color="auto"/>
              <w:right w:val="single" w:sz="4" w:space="0" w:color="auto"/>
            </w:tcBorders>
            <w:shd w:val="clear" w:color="auto" w:fill="auto"/>
            <w:vAlign w:val="center"/>
          </w:tcPr>
          <w:p w14:paraId="6702D6B1" w14:textId="4B7D1F87" w:rsidR="00D00916" w:rsidRPr="00D00916" w:rsidRDefault="00D00916" w:rsidP="00D00916">
            <w:pPr>
              <w:spacing w:line="276" w:lineRule="auto"/>
              <w:jc w:val="right"/>
              <w:rPr>
                <w:szCs w:val="24"/>
              </w:rPr>
            </w:pPr>
            <w:r w:rsidRPr="00D00916">
              <w:rPr>
                <w:rFonts w:ascii="Arial" w:hAnsi="Arial" w:cs="Arial"/>
                <w:color w:val="000000"/>
                <w:sz w:val="22"/>
                <w:szCs w:val="22"/>
              </w:rPr>
              <w:t>46%</w:t>
            </w:r>
          </w:p>
        </w:tc>
        <w:tc>
          <w:tcPr>
            <w:tcW w:w="1740" w:type="dxa"/>
            <w:tcBorders>
              <w:top w:val="single" w:sz="4" w:space="0" w:color="auto"/>
              <w:left w:val="nil"/>
              <w:bottom w:val="single" w:sz="4" w:space="0" w:color="auto"/>
              <w:right w:val="single" w:sz="4" w:space="0" w:color="auto"/>
            </w:tcBorders>
            <w:shd w:val="clear" w:color="auto" w:fill="auto"/>
            <w:vAlign w:val="center"/>
          </w:tcPr>
          <w:p w14:paraId="72F341BA" w14:textId="28398905" w:rsidR="00D00916" w:rsidRPr="00D00916" w:rsidRDefault="00D00916" w:rsidP="00D00916">
            <w:pPr>
              <w:spacing w:line="276" w:lineRule="auto"/>
              <w:jc w:val="right"/>
              <w:rPr>
                <w:szCs w:val="24"/>
              </w:rPr>
            </w:pPr>
            <w:r w:rsidRPr="00D00916">
              <w:rPr>
                <w:rFonts w:ascii="Arial" w:hAnsi="Arial" w:cs="Arial"/>
                <w:color w:val="000000"/>
                <w:sz w:val="22"/>
                <w:szCs w:val="22"/>
              </w:rPr>
              <w:t>-8%</w:t>
            </w:r>
          </w:p>
        </w:tc>
      </w:tr>
      <w:tr w:rsidR="00D00916" w:rsidRPr="00D462A2" w14:paraId="302FEAB4" w14:textId="77777777" w:rsidTr="004A7B3F">
        <w:trPr>
          <w:trHeight w:val="300"/>
        </w:trPr>
        <w:tc>
          <w:tcPr>
            <w:tcW w:w="47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7A4547" w14:textId="77777777" w:rsidR="00D00916" w:rsidRDefault="00D00916" w:rsidP="00D00916">
            <w:pPr>
              <w:spacing w:line="276" w:lineRule="auto"/>
              <w:jc w:val="both"/>
            </w:pPr>
            <w:r w:rsidRPr="009045E5">
              <w:t>NA estimated new build entry-level house price</w:t>
            </w:r>
          </w:p>
        </w:tc>
        <w:tc>
          <w:tcPr>
            <w:tcW w:w="1739" w:type="dxa"/>
            <w:tcBorders>
              <w:top w:val="nil"/>
              <w:left w:val="single" w:sz="4" w:space="0" w:color="auto"/>
              <w:bottom w:val="single" w:sz="4" w:space="0" w:color="auto"/>
              <w:right w:val="single" w:sz="4" w:space="0" w:color="auto"/>
            </w:tcBorders>
            <w:shd w:val="clear" w:color="auto" w:fill="auto"/>
            <w:vAlign w:val="center"/>
          </w:tcPr>
          <w:p w14:paraId="2AC0A291" w14:textId="39D647F0" w:rsidR="00D00916" w:rsidRPr="00D00916" w:rsidRDefault="00D00916" w:rsidP="00D00916">
            <w:pPr>
              <w:spacing w:line="276" w:lineRule="auto"/>
              <w:jc w:val="right"/>
              <w:rPr>
                <w:szCs w:val="24"/>
              </w:rPr>
            </w:pPr>
            <w:r w:rsidRPr="00D00916">
              <w:rPr>
                <w:rFonts w:ascii="Arial" w:hAnsi="Arial" w:cs="Arial"/>
                <w:color w:val="000000"/>
                <w:sz w:val="22"/>
                <w:szCs w:val="22"/>
              </w:rPr>
              <w:t>19%</w:t>
            </w:r>
          </w:p>
        </w:tc>
        <w:tc>
          <w:tcPr>
            <w:tcW w:w="1739" w:type="dxa"/>
            <w:tcBorders>
              <w:top w:val="nil"/>
              <w:left w:val="nil"/>
              <w:bottom w:val="single" w:sz="4" w:space="0" w:color="auto"/>
              <w:right w:val="single" w:sz="4" w:space="0" w:color="auto"/>
            </w:tcBorders>
            <w:shd w:val="clear" w:color="auto" w:fill="auto"/>
            <w:vAlign w:val="center"/>
          </w:tcPr>
          <w:p w14:paraId="3B294C20" w14:textId="4D987FD0" w:rsidR="00D00916" w:rsidRPr="00D00916" w:rsidRDefault="00D00916" w:rsidP="00D00916">
            <w:pPr>
              <w:spacing w:line="276" w:lineRule="auto"/>
              <w:jc w:val="right"/>
              <w:rPr>
                <w:szCs w:val="24"/>
              </w:rPr>
            </w:pPr>
            <w:r w:rsidRPr="00D00916">
              <w:rPr>
                <w:rFonts w:ascii="Arial" w:hAnsi="Arial" w:cs="Arial"/>
                <w:color w:val="000000"/>
                <w:sz w:val="22"/>
                <w:szCs w:val="22"/>
              </w:rPr>
              <w:t>63%</w:t>
            </w:r>
          </w:p>
        </w:tc>
        <w:tc>
          <w:tcPr>
            <w:tcW w:w="1740" w:type="dxa"/>
            <w:tcBorders>
              <w:top w:val="nil"/>
              <w:left w:val="nil"/>
              <w:bottom w:val="single" w:sz="4" w:space="0" w:color="auto"/>
              <w:right w:val="single" w:sz="4" w:space="0" w:color="auto"/>
            </w:tcBorders>
            <w:shd w:val="clear" w:color="auto" w:fill="auto"/>
            <w:vAlign w:val="center"/>
          </w:tcPr>
          <w:p w14:paraId="3A5A2AFC" w14:textId="45EF4DBF" w:rsidR="00D00916" w:rsidRPr="00D00916" w:rsidRDefault="00D00916" w:rsidP="00D00916">
            <w:pPr>
              <w:spacing w:line="276" w:lineRule="auto"/>
              <w:jc w:val="right"/>
              <w:rPr>
                <w:szCs w:val="24"/>
              </w:rPr>
            </w:pPr>
            <w:r w:rsidRPr="00D00916">
              <w:rPr>
                <w:rFonts w:ascii="Arial" w:hAnsi="Arial" w:cs="Arial"/>
                <w:color w:val="000000"/>
                <w:sz w:val="22"/>
                <w:szCs w:val="22"/>
              </w:rPr>
              <w:t>25%</w:t>
            </w:r>
          </w:p>
        </w:tc>
      </w:tr>
      <w:tr w:rsidR="00D00916" w:rsidRPr="00D462A2" w14:paraId="4E55EE87" w14:textId="77777777" w:rsidTr="004A7B3F">
        <w:trPr>
          <w:trHeight w:val="300"/>
        </w:trPr>
        <w:tc>
          <w:tcPr>
            <w:tcW w:w="47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4BB71C" w14:textId="77777777" w:rsidR="00D00916" w:rsidRDefault="00D00916" w:rsidP="00D00916">
            <w:pPr>
              <w:spacing w:line="276" w:lineRule="auto"/>
              <w:jc w:val="both"/>
            </w:pPr>
            <w:r w:rsidRPr="009045E5">
              <w:t>NA entry-level house price</w:t>
            </w:r>
          </w:p>
        </w:tc>
        <w:tc>
          <w:tcPr>
            <w:tcW w:w="1739" w:type="dxa"/>
            <w:tcBorders>
              <w:top w:val="nil"/>
              <w:left w:val="single" w:sz="4" w:space="0" w:color="auto"/>
              <w:bottom w:val="single" w:sz="4" w:space="0" w:color="auto"/>
              <w:right w:val="single" w:sz="4" w:space="0" w:color="auto"/>
            </w:tcBorders>
            <w:shd w:val="clear" w:color="auto" w:fill="auto"/>
            <w:vAlign w:val="center"/>
          </w:tcPr>
          <w:p w14:paraId="28BC7E19" w14:textId="2809F60E" w:rsidR="00D00916" w:rsidRPr="00D00916" w:rsidRDefault="00D00916" w:rsidP="00D00916">
            <w:pPr>
              <w:spacing w:line="276" w:lineRule="auto"/>
              <w:jc w:val="right"/>
              <w:rPr>
                <w:szCs w:val="24"/>
              </w:rPr>
            </w:pPr>
            <w:r w:rsidRPr="00D00916">
              <w:rPr>
                <w:rFonts w:ascii="Arial" w:hAnsi="Arial" w:cs="Arial"/>
                <w:color w:val="000000"/>
                <w:sz w:val="22"/>
                <w:szCs w:val="22"/>
              </w:rPr>
              <w:t>-79%</w:t>
            </w:r>
          </w:p>
        </w:tc>
        <w:tc>
          <w:tcPr>
            <w:tcW w:w="1739" w:type="dxa"/>
            <w:tcBorders>
              <w:top w:val="nil"/>
              <w:left w:val="nil"/>
              <w:bottom w:val="single" w:sz="4" w:space="0" w:color="auto"/>
              <w:right w:val="single" w:sz="4" w:space="0" w:color="auto"/>
            </w:tcBorders>
            <w:shd w:val="clear" w:color="auto" w:fill="auto"/>
            <w:vAlign w:val="center"/>
          </w:tcPr>
          <w:p w14:paraId="623E3F26" w14:textId="7A623821" w:rsidR="00D00916" w:rsidRPr="00D00916" w:rsidRDefault="00D00916" w:rsidP="00D00916">
            <w:pPr>
              <w:spacing w:line="276" w:lineRule="auto"/>
              <w:jc w:val="right"/>
              <w:rPr>
                <w:szCs w:val="24"/>
              </w:rPr>
            </w:pPr>
            <w:r w:rsidRPr="00D00916">
              <w:rPr>
                <w:rFonts w:ascii="Arial" w:hAnsi="Arial" w:cs="Arial"/>
                <w:color w:val="000000"/>
                <w:sz w:val="22"/>
                <w:szCs w:val="22"/>
              </w:rPr>
              <w:t>18%</w:t>
            </w:r>
          </w:p>
        </w:tc>
        <w:tc>
          <w:tcPr>
            <w:tcW w:w="1740" w:type="dxa"/>
            <w:tcBorders>
              <w:top w:val="nil"/>
              <w:left w:val="nil"/>
              <w:bottom w:val="single" w:sz="4" w:space="0" w:color="auto"/>
              <w:right w:val="single" w:sz="4" w:space="0" w:color="auto"/>
            </w:tcBorders>
            <w:shd w:val="clear" w:color="auto" w:fill="auto"/>
            <w:vAlign w:val="center"/>
          </w:tcPr>
          <w:p w14:paraId="09098C3E" w14:textId="7E5F7B82" w:rsidR="00D00916" w:rsidRPr="00D00916" w:rsidRDefault="00D00916" w:rsidP="00D00916">
            <w:pPr>
              <w:spacing w:line="276" w:lineRule="auto"/>
              <w:jc w:val="right"/>
              <w:rPr>
                <w:szCs w:val="24"/>
              </w:rPr>
            </w:pPr>
            <w:r w:rsidRPr="00D00916">
              <w:rPr>
                <w:rFonts w:ascii="Arial" w:hAnsi="Arial" w:cs="Arial"/>
                <w:color w:val="000000"/>
                <w:sz w:val="22"/>
                <w:szCs w:val="22"/>
              </w:rPr>
              <w:t>-65%</w:t>
            </w:r>
          </w:p>
        </w:tc>
      </w:tr>
      <w:tr w:rsidR="00D00916" w:rsidRPr="00D462A2" w14:paraId="1862635F" w14:textId="77777777" w:rsidTr="004A7B3F">
        <w:trPr>
          <w:trHeight w:val="300"/>
        </w:trPr>
        <w:tc>
          <w:tcPr>
            <w:tcW w:w="47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ACA03C" w14:textId="77777777" w:rsidR="00D00916" w:rsidRDefault="00D00916" w:rsidP="00D00916">
            <w:pPr>
              <w:spacing w:line="276" w:lineRule="auto"/>
              <w:jc w:val="both"/>
            </w:pPr>
            <w:r w:rsidRPr="009045E5">
              <w:t>LA median new build house price</w:t>
            </w:r>
          </w:p>
        </w:tc>
        <w:tc>
          <w:tcPr>
            <w:tcW w:w="1739" w:type="dxa"/>
            <w:tcBorders>
              <w:top w:val="nil"/>
              <w:left w:val="single" w:sz="4" w:space="0" w:color="auto"/>
              <w:bottom w:val="single" w:sz="4" w:space="0" w:color="auto"/>
              <w:right w:val="single" w:sz="4" w:space="0" w:color="auto"/>
            </w:tcBorders>
            <w:shd w:val="clear" w:color="auto" w:fill="auto"/>
            <w:vAlign w:val="center"/>
          </w:tcPr>
          <w:p w14:paraId="668C0CEA" w14:textId="431539BE" w:rsidR="00D00916" w:rsidRPr="00D00916" w:rsidRDefault="00D00916" w:rsidP="00D00916">
            <w:pPr>
              <w:spacing w:line="276" w:lineRule="auto"/>
              <w:jc w:val="right"/>
              <w:rPr>
                <w:szCs w:val="24"/>
              </w:rPr>
            </w:pPr>
            <w:r w:rsidRPr="00D00916">
              <w:rPr>
                <w:rFonts w:ascii="Arial" w:hAnsi="Arial" w:cs="Arial"/>
                <w:color w:val="000000"/>
                <w:sz w:val="22"/>
                <w:szCs w:val="22"/>
              </w:rPr>
              <w:t>29%</w:t>
            </w:r>
          </w:p>
        </w:tc>
        <w:tc>
          <w:tcPr>
            <w:tcW w:w="1739" w:type="dxa"/>
            <w:tcBorders>
              <w:top w:val="nil"/>
              <w:left w:val="nil"/>
              <w:bottom w:val="single" w:sz="4" w:space="0" w:color="auto"/>
              <w:right w:val="single" w:sz="4" w:space="0" w:color="auto"/>
            </w:tcBorders>
            <w:shd w:val="clear" w:color="auto" w:fill="auto"/>
            <w:vAlign w:val="center"/>
          </w:tcPr>
          <w:p w14:paraId="25D85529" w14:textId="76F0B3EA" w:rsidR="00D00916" w:rsidRPr="00D00916" w:rsidRDefault="00D00916" w:rsidP="00D00916">
            <w:pPr>
              <w:spacing w:line="276" w:lineRule="auto"/>
              <w:jc w:val="right"/>
              <w:rPr>
                <w:szCs w:val="24"/>
              </w:rPr>
            </w:pPr>
            <w:r w:rsidRPr="00D00916">
              <w:rPr>
                <w:rFonts w:ascii="Arial" w:hAnsi="Arial" w:cs="Arial"/>
                <w:color w:val="000000"/>
                <w:sz w:val="22"/>
                <w:szCs w:val="22"/>
              </w:rPr>
              <w:t>68%</w:t>
            </w:r>
          </w:p>
        </w:tc>
        <w:tc>
          <w:tcPr>
            <w:tcW w:w="1740" w:type="dxa"/>
            <w:tcBorders>
              <w:top w:val="nil"/>
              <w:left w:val="nil"/>
              <w:bottom w:val="single" w:sz="4" w:space="0" w:color="auto"/>
              <w:right w:val="single" w:sz="4" w:space="0" w:color="auto"/>
            </w:tcBorders>
            <w:shd w:val="clear" w:color="auto" w:fill="auto"/>
            <w:vAlign w:val="center"/>
          </w:tcPr>
          <w:p w14:paraId="7747CBCD" w14:textId="409993C8" w:rsidR="00D00916" w:rsidRPr="00D00916" w:rsidRDefault="00D00916" w:rsidP="00D00916">
            <w:pPr>
              <w:spacing w:line="276" w:lineRule="auto"/>
              <w:jc w:val="right"/>
              <w:rPr>
                <w:szCs w:val="24"/>
              </w:rPr>
            </w:pPr>
            <w:r w:rsidRPr="00D00916">
              <w:rPr>
                <w:rFonts w:ascii="Arial" w:hAnsi="Arial" w:cs="Arial"/>
                <w:color w:val="000000"/>
                <w:sz w:val="22"/>
                <w:szCs w:val="22"/>
              </w:rPr>
              <w:t>35%</w:t>
            </w:r>
          </w:p>
        </w:tc>
      </w:tr>
    </w:tbl>
    <w:p w14:paraId="118AFC92" w14:textId="77777777" w:rsidR="00201C53" w:rsidRDefault="00201C53" w:rsidP="00252C91">
      <w:pPr>
        <w:pStyle w:val="Source"/>
        <w:jc w:val="both"/>
      </w:pPr>
      <w:r w:rsidRPr="00652248">
        <w:t>Source: Land Registry PPD; ONS MSOA total household income</w:t>
      </w:r>
    </w:p>
    <w:p w14:paraId="7921167C" w14:textId="77777777" w:rsidR="00121BD0" w:rsidRPr="00652248" w:rsidRDefault="00121BD0" w:rsidP="00252C91">
      <w:pPr>
        <w:pStyle w:val="Source"/>
        <w:jc w:val="both"/>
      </w:pPr>
    </w:p>
    <w:p w14:paraId="1C082457" w14:textId="77777777" w:rsidR="00201C53" w:rsidRPr="009E1BB6" w:rsidRDefault="00201C53" w:rsidP="00252C91">
      <w:pPr>
        <w:pStyle w:val="Heading4"/>
        <w:jc w:val="both"/>
        <w:rPr>
          <w:color w:val="auto"/>
        </w:rPr>
      </w:pPr>
      <w:bookmarkStart w:id="222" w:name="_Toc518220507"/>
      <w:bookmarkStart w:id="223" w:name="_Toc521492010"/>
      <w:bookmarkStart w:id="224" w:name="_Toc536797465"/>
      <w:bookmarkEnd w:id="217"/>
      <w:bookmarkEnd w:id="218"/>
      <w:bookmarkEnd w:id="219"/>
      <w:bookmarkEnd w:id="221"/>
      <w:r w:rsidRPr="009E1BB6">
        <w:rPr>
          <w:color w:val="auto"/>
        </w:rPr>
        <w:t>Shared ownership</w:t>
      </w:r>
      <w:bookmarkEnd w:id="222"/>
      <w:bookmarkEnd w:id="223"/>
      <w:bookmarkEnd w:id="224"/>
    </w:p>
    <w:p w14:paraId="7F66D307" w14:textId="77777777" w:rsidR="00201C53" w:rsidRPr="009E1BB6" w:rsidRDefault="00201C53" w:rsidP="00252C91">
      <w:pPr>
        <w:pStyle w:val="AppendixText"/>
        <w:jc w:val="both"/>
        <w:rPr>
          <w:bCs/>
        </w:rPr>
      </w:pPr>
      <w:r w:rsidRPr="009E1BB6">
        <w:t xml:space="preserve">Shared ownership involves the purchaser buying an initial share in a property, typically of between 25% and 75% (but now set at a minimum of 10%), and paying rent on the share retained by the provider. Shared ownership is flexible in two respects, in the share which can be purchased and in the rent payable on the share retained by the provider. </w:t>
      </w:r>
      <w:proofErr w:type="gramStart"/>
      <w:r w:rsidRPr="009E1BB6">
        <w:t>Both of these</w:t>
      </w:r>
      <w:proofErr w:type="gramEnd"/>
      <w:r w:rsidRPr="009E1BB6">
        <w:t xml:space="preserve"> are variable. The share owned by the occupant can be increased over time through a process known as 'staircasing'.</w:t>
      </w:r>
    </w:p>
    <w:p w14:paraId="26BAA0F1" w14:textId="77777777" w:rsidR="00201C53" w:rsidRPr="009E1BB6" w:rsidRDefault="00201C53" w:rsidP="00252C91">
      <w:pPr>
        <w:pStyle w:val="AppendixText"/>
        <w:jc w:val="both"/>
        <w:rPr>
          <w:bCs/>
        </w:rPr>
      </w:pPr>
      <w:r w:rsidRPr="009E1BB6">
        <w:t xml:space="preserve">In exceptional circumstances (for example, </w:t>
      </w:r>
      <w:proofErr w:type="gramStart"/>
      <w:r w:rsidRPr="009E1BB6">
        <w:t>as a result of</w:t>
      </w:r>
      <w:proofErr w:type="gramEnd"/>
      <w:r w:rsidRPr="009E1BB6">
        <w:t xml:space="preserve"> financial difficulties, and where the alternative is repossession), and at the discretion of the provider, shared owners may staircase down, thereby reducing the share they own. Shared equity is available to first-time buyers, people who have owned a home previously and council and housing association tenants with a good credit rating whose annual household income does not exceed £80,000. </w:t>
      </w:r>
    </w:p>
    <w:p w14:paraId="60BCF885" w14:textId="77777777" w:rsidR="00201C53" w:rsidRPr="009E1BB6" w:rsidRDefault="00201C53" w:rsidP="00252C91">
      <w:pPr>
        <w:pStyle w:val="AppendixText"/>
        <w:jc w:val="both"/>
        <w:rPr>
          <w:bCs/>
        </w:rPr>
      </w:pPr>
      <w:r w:rsidRPr="009E1BB6">
        <w:t xml:space="preserve">To determine the affordability of shared ownership, calculations are again based on the estimated costs of new build housing as discussed above. The deposit available to the prospective purchaser is assumed to be 10% of the value of the dwelling, and the standard loan to income ratio of 3.5 is used to calculate the income required to obtain a mortgage. The rental component is estimated at 2.5% of the value of the remaining (unsold) portion of the price. The income required to cover the rental component of the dwelling </w:t>
      </w:r>
      <w:proofErr w:type="gramStart"/>
      <w:r w:rsidRPr="009E1BB6">
        <w:t>is based on the assumption</w:t>
      </w:r>
      <w:proofErr w:type="gramEnd"/>
      <w:r w:rsidRPr="009E1BB6">
        <w:t xml:space="preserve"> that a household spends no </w:t>
      </w:r>
      <w:r w:rsidRPr="009E1BB6">
        <w:lastRenderedPageBreak/>
        <w:t xml:space="preserve">more than 30% of the income on rent (as for the income threshold for the private rental sector). </w:t>
      </w:r>
    </w:p>
    <w:p w14:paraId="4C96DE48" w14:textId="77777777" w:rsidR="00201C53" w:rsidRPr="009E1BB6" w:rsidRDefault="00201C53" w:rsidP="00252C91">
      <w:pPr>
        <w:pStyle w:val="AppendixText"/>
        <w:jc w:val="both"/>
        <w:rPr>
          <w:bCs/>
        </w:rPr>
      </w:pPr>
      <w:r w:rsidRPr="009E1BB6">
        <w:t>The affordability threshold for a 25% equity share is calculated as follows:</w:t>
      </w:r>
    </w:p>
    <w:p w14:paraId="52DA536F" w14:textId="5D21754A" w:rsidR="00201C53" w:rsidRPr="009E1BB6" w:rsidRDefault="00201C53" w:rsidP="00252C91">
      <w:pPr>
        <w:pStyle w:val="ListBullet"/>
        <w:jc w:val="both"/>
      </w:pPr>
      <w:r w:rsidRPr="009E1BB6">
        <w:t>A 25% equity share of £</w:t>
      </w:r>
      <w:r w:rsidR="00D00916">
        <w:t>184,900</w:t>
      </w:r>
      <w:r w:rsidRPr="009E1BB6">
        <w:t xml:space="preserve"> is </w:t>
      </w:r>
      <w:proofErr w:type="gramStart"/>
      <w:r w:rsidRPr="009E1BB6">
        <w:t>£</w:t>
      </w:r>
      <w:r w:rsidR="00D00916">
        <w:t>46,200</w:t>
      </w:r>
      <w:r w:rsidRPr="009E1BB6">
        <w:t>;</w:t>
      </w:r>
      <w:proofErr w:type="gramEnd"/>
    </w:p>
    <w:p w14:paraId="1CBFBD04" w14:textId="57C0E72E" w:rsidR="00201C53" w:rsidRPr="009E1BB6" w:rsidRDefault="00201C53" w:rsidP="00252C91">
      <w:pPr>
        <w:pStyle w:val="ListBullet"/>
        <w:jc w:val="both"/>
      </w:pPr>
      <w:r w:rsidRPr="009E1BB6">
        <w:t>A 10% deposit of £</w:t>
      </w:r>
      <w:r w:rsidR="00815C20">
        <w:t>4,620</w:t>
      </w:r>
      <w:r w:rsidRPr="009E1BB6">
        <w:t xml:space="preserve"> is deducted, leaving a mortgage value of </w:t>
      </w:r>
      <w:proofErr w:type="gramStart"/>
      <w:r w:rsidRPr="009E1BB6">
        <w:t>£</w:t>
      </w:r>
      <w:r w:rsidR="00815C20">
        <w:t>41,600</w:t>
      </w:r>
      <w:r w:rsidRPr="009E1BB6">
        <w:t>;</w:t>
      </w:r>
      <w:proofErr w:type="gramEnd"/>
    </w:p>
    <w:p w14:paraId="02C30751" w14:textId="01331EC7" w:rsidR="00201C53" w:rsidRPr="009E1BB6" w:rsidRDefault="00201C53" w:rsidP="00252C91">
      <w:pPr>
        <w:pStyle w:val="ListBullet"/>
        <w:jc w:val="both"/>
      </w:pPr>
      <w:r w:rsidRPr="009E1BB6">
        <w:t xml:space="preserve">This is divided by the loan to value ratio of 3.5 to give a purchase threshold of </w:t>
      </w:r>
      <w:proofErr w:type="gramStart"/>
      <w:r w:rsidRPr="009E1BB6">
        <w:t>£</w:t>
      </w:r>
      <w:r w:rsidR="00815C20">
        <w:t>11,880</w:t>
      </w:r>
      <w:r w:rsidRPr="009E1BB6">
        <w:t>;</w:t>
      </w:r>
      <w:proofErr w:type="gramEnd"/>
    </w:p>
    <w:p w14:paraId="0EFC5F22" w14:textId="791CF094" w:rsidR="00201C53" w:rsidRPr="009E1BB6" w:rsidRDefault="00201C53" w:rsidP="00252C91">
      <w:pPr>
        <w:pStyle w:val="ListBullet"/>
        <w:jc w:val="both"/>
      </w:pPr>
      <w:r w:rsidRPr="009E1BB6">
        <w:t xml:space="preserve">Rent is charged on the remaining 75% shared ownership equity, i.e. the unsold value of </w:t>
      </w:r>
      <w:proofErr w:type="gramStart"/>
      <w:r w:rsidRPr="009E1BB6">
        <w:t>£</w:t>
      </w:r>
      <w:r w:rsidR="00A61344">
        <w:t>138,680</w:t>
      </w:r>
      <w:r w:rsidRPr="009E1BB6">
        <w:t>;</w:t>
      </w:r>
      <w:proofErr w:type="gramEnd"/>
    </w:p>
    <w:p w14:paraId="02DA5162" w14:textId="046F9FFD" w:rsidR="00201C53" w:rsidRPr="009E1BB6" w:rsidRDefault="00201C53" w:rsidP="00252C91">
      <w:pPr>
        <w:pStyle w:val="ListBullet"/>
        <w:jc w:val="both"/>
      </w:pPr>
      <w:r w:rsidRPr="009E1BB6">
        <w:t xml:space="preserve">The estimated annual rent at 2.5% of the unsold value is </w:t>
      </w:r>
      <w:proofErr w:type="gramStart"/>
      <w:r w:rsidRPr="009E1BB6">
        <w:t>£</w:t>
      </w:r>
      <w:r w:rsidR="00A61344">
        <w:t>3,460</w:t>
      </w:r>
      <w:r w:rsidRPr="009E1BB6">
        <w:t>;</w:t>
      </w:r>
      <w:proofErr w:type="gramEnd"/>
    </w:p>
    <w:p w14:paraId="0C70BF4C" w14:textId="2A8A0CF0" w:rsidR="00201C53" w:rsidRPr="009E1BB6" w:rsidRDefault="00201C53" w:rsidP="00252C91">
      <w:pPr>
        <w:pStyle w:val="ListBullet"/>
        <w:jc w:val="both"/>
      </w:pPr>
      <w:r w:rsidRPr="009E1BB6">
        <w:t>This requires an income of £</w:t>
      </w:r>
      <w:r w:rsidR="00A61344">
        <w:t>11</w:t>
      </w:r>
      <w:r w:rsidR="000A52AE">
        <w:t>,</w:t>
      </w:r>
      <w:r w:rsidR="00A61344">
        <w:t>560</w:t>
      </w:r>
      <w:r w:rsidRPr="009E1BB6">
        <w:t xml:space="preserve"> (annual rent multiplied by 3.33 so that no more than 30% of income is spent on rent). </w:t>
      </w:r>
    </w:p>
    <w:p w14:paraId="5C677DE8" w14:textId="735CE245" w:rsidR="00201C53" w:rsidRPr="00386FFE" w:rsidRDefault="00201C53" w:rsidP="00252C91">
      <w:pPr>
        <w:pStyle w:val="ListBullet"/>
        <w:jc w:val="both"/>
      </w:pPr>
      <w:r w:rsidRPr="00386FFE">
        <w:t>The total income required is £</w:t>
      </w:r>
      <w:r w:rsidR="000A52AE" w:rsidRPr="00386FFE">
        <w:t>23,4</w:t>
      </w:r>
      <w:r w:rsidR="00D11A6E" w:rsidRPr="00386FFE">
        <w:t>4</w:t>
      </w:r>
      <w:r w:rsidR="000A52AE" w:rsidRPr="00386FFE">
        <w:t>0</w:t>
      </w:r>
      <w:r w:rsidRPr="00386FFE">
        <w:t xml:space="preserve"> (£</w:t>
      </w:r>
      <w:r w:rsidR="000A52AE" w:rsidRPr="00386FFE">
        <w:t>11,880</w:t>
      </w:r>
      <w:r w:rsidRPr="00386FFE">
        <w:t xml:space="preserve"> plus £</w:t>
      </w:r>
      <w:r w:rsidR="00D11A6E" w:rsidRPr="00386FFE">
        <w:t>11,560</w:t>
      </w:r>
      <w:r w:rsidRPr="00386FFE">
        <w:t>).</w:t>
      </w:r>
    </w:p>
    <w:p w14:paraId="010D43DB" w14:textId="77777777" w:rsidR="00D11A6E" w:rsidRPr="00386FFE" w:rsidRDefault="00201C53" w:rsidP="00B31D4E">
      <w:pPr>
        <w:pStyle w:val="AppendixText"/>
        <w:jc w:val="both"/>
        <w:rPr>
          <w:bCs/>
        </w:rPr>
      </w:pPr>
      <w:r w:rsidRPr="00386FFE">
        <w:t>The same calculation is repeated for equity shares of 10% and 50% producing affordability thresholds of £</w:t>
      </w:r>
      <w:r w:rsidR="00D11A6E" w:rsidRPr="00386FFE">
        <w:t>18,600</w:t>
      </w:r>
      <w:r w:rsidRPr="00386FFE">
        <w:t xml:space="preserve"> and £</w:t>
      </w:r>
      <w:r w:rsidR="00D11A6E" w:rsidRPr="00386FFE">
        <w:t>31,500</w:t>
      </w:r>
      <w:r w:rsidRPr="00386FFE">
        <w:t xml:space="preserve"> respectively. </w:t>
      </w:r>
    </w:p>
    <w:p w14:paraId="570DE6E2" w14:textId="7054206D" w:rsidR="00D11A6E" w:rsidRPr="00121BD0" w:rsidRDefault="00D11A6E" w:rsidP="00D11A6E">
      <w:pPr>
        <w:pStyle w:val="AppendixText"/>
        <w:rPr>
          <w:bCs/>
        </w:rPr>
      </w:pPr>
      <w:proofErr w:type="gramStart"/>
      <w:r w:rsidRPr="00386FFE">
        <w:t>All of</w:t>
      </w:r>
      <w:proofErr w:type="gramEnd"/>
      <w:r w:rsidRPr="00386FFE">
        <w:t xml:space="preserve"> the income thresholds calculated here for </w:t>
      </w:r>
      <w:r w:rsidR="00386FFE" w:rsidRPr="00386FFE">
        <w:t>shared ownership homes</w:t>
      </w:r>
      <w:r w:rsidRPr="00386FFE">
        <w:t xml:space="preserve"> are below the cap of £80,000 above which households are not eligible</w:t>
      </w:r>
      <w:r w:rsidRPr="00121BD0">
        <w:t xml:space="preserve">. </w:t>
      </w:r>
    </w:p>
    <w:p w14:paraId="56F6D9C9" w14:textId="77777777" w:rsidR="00D11A6E" w:rsidRPr="00D11A6E" w:rsidRDefault="00D11A6E" w:rsidP="00386FFE">
      <w:pPr>
        <w:pStyle w:val="AppendixText"/>
        <w:numPr>
          <w:ilvl w:val="0"/>
          <w:numId w:val="0"/>
        </w:numPr>
        <w:ind w:left="862"/>
        <w:jc w:val="both"/>
        <w:rPr>
          <w:bCs/>
          <w:highlight w:val="green"/>
        </w:rPr>
      </w:pPr>
    </w:p>
    <w:p w14:paraId="7C90E39D" w14:textId="77777777" w:rsidR="00201C53" w:rsidRPr="009E1BB6" w:rsidRDefault="00201C53" w:rsidP="00252C91">
      <w:pPr>
        <w:pStyle w:val="Heading4"/>
        <w:jc w:val="both"/>
        <w:rPr>
          <w:color w:val="auto"/>
        </w:rPr>
      </w:pPr>
      <w:r w:rsidRPr="009E1BB6">
        <w:rPr>
          <w:color w:val="auto"/>
        </w:rPr>
        <w:t>Rent to Buy</w:t>
      </w:r>
    </w:p>
    <w:p w14:paraId="5D78F8FE" w14:textId="77777777" w:rsidR="00201C53" w:rsidRPr="009E1BB6" w:rsidRDefault="00201C53" w:rsidP="00252C91">
      <w:pPr>
        <w:pStyle w:val="AppendixText"/>
        <w:jc w:val="both"/>
        <w:rPr>
          <w:bCs/>
        </w:rPr>
      </w:pPr>
      <w:r w:rsidRPr="009E1BB6">
        <w:t>Rent to Buy is a relatively new and less common tenure, which through subsidy allows the occupant to save a portion of their rent, which is intended to be used to build up a deposit to eventually purchase the home. It is therefore estimated to cost the same as private rents – the difference being that the occupant builds up savings with a portion of the rent.</w:t>
      </w:r>
    </w:p>
    <w:p w14:paraId="04F504F7" w14:textId="77777777" w:rsidR="00201C53" w:rsidRPr="009E1BB6" w:rsidRDefault="00201C53" w:rsidP="00252C91">
      <w:pPr>
        <w:pStyle w:val="Appendix"/>
        <w:numPr>
          <w:ilvl w:val="0"/>
          <w:numId w:val="22"/>
        </w:numPr>
        <w:jc w:val="both"/>
        <w:rPr>
          <w:color w:val="auto"/>
        </w:rPr>
      </w:pPr>
      <w:bookmarkStart w:id="225" w:name="_Toc170398399"/>
      <w:bookmarkStart w:id="226" w:name="_Toc185339919"/>
      <w:r w:rsidRPr="009E1BB6">
        <w:rPr>
          <w:color w:val="auto"/>
        </w:rPr>
        <w:lastRenderedPageBreak/>
        <w:t>: Affordable Housing need and policy</w:t>
      </w:r>
      <w:bookmarkEnd w:id="225"/>
      <w:bookmarkEnd w:id="226"/>
    </w:p>
    <w:p w14:paraId="46CC1F4B" w14:textId="77777777" w:rsidR="00201C53" w:rsidRPr="009E1BB6" w:rsidRDefault="00201C53" w:rsidP="00252C91">
      <w:pPr>
        <w:pStyle w:val="Appendixheading2"/>
        <w:jc w:val="both"/>
        <w:rPr>
          <w:color w:val="auto"/>
        </w:rPr>
      </w:pPr>
      <w:r w:rsidRPr="009E1BB6">
        <w:rPr>
          <w:color w:val="auto"/>
        </w:rPr>
        <w:t>Affordable Housing estimates</w:t>
      </w:r>
    </w:p>
    <w:p w14:paraId="6C2198B3" w14:textId="6FDBDF72" w:rsidR="00201C53" w:rsidRPr="009E1BB6" w:rsidRDefault="00201C53" w:rsidP="00252C91">
      <w:pPr>
        <w:pStyle w:val="AppendixText"/>
        <w:jc w:val="both"/>
        <w:rPr>
          <w:bCs/>
        </w:rPr>
      </w:pPr>
      <w:bookmarkStart w:id="227" w:name="_Hlk118802169"/>
      <w:r w:rsidRPr="0038720F">
        <w:t>Table D-2 estimates the potential demand</w:t>
      </w:r>
      <w:r w:rsidR="001D135D">
        <w:t xml:space="preserve"> for Affordable Home ownership</w:t>
      </w:r>
      <w:r w:rsidRPr="0038720F">
        <w:t xml:space="preserve"> in </w:t>
      </w:r>
      <w:r w:rsidR="00D143F2" w:rsidRPr="0038720F">
        <w:t>Consett</w:t>
      </w:r>
      <w:r w:rsidRPr="0038720F">
        <w:t>. This model aims to estimate the number of households that might wish to own their own home but cannot afford to. The model is consistent with methods used at Local Authority</w:t>
      </w:r>
      <w:r w:rsidRPr="009E1BB6">
        <w:t xml:space="preserve"> scale in taking as its starting point households currently living in or expected to enter the private rented sector who are not on housing benefit. </w:t>
      </w:r>
      <w:bookmarkStart w:id="228" w:name="_Hlk55504562"/>
      <w:bookmarkEnd w:id="227"/>
    </w:p>
    <w:p w14:paraId="5FEC0C34" w14:textId="2F82D197" w:rsidR="00201C53" w:rsidRPr="00434C10" w:rsidRDefault="00201C53" w:rsidP="00252C91">
      <w:pPr>
        <w:pStyle w:val="AppendixText"/>
        <w:jc w:val="both"/>
        <w:rPr>
          <w:bCs/>
        </w:rPr>
      </w:pPr>
      <w:r w:rsidRPr="009E1BB6">
        <w:t xml:space="preserve">There may be other barriers to these households accessing home ownership on the open market, including being unable to save for a deposit, or being unable to afford a home of the right type/size or in the right location. </w:t>
      </w:r>
      <w:bookmarkEnd w:id="228"/>
      <w:r w:rsidRPr="009E1BB6">
        <w:t xml:space="preserve">The model also discounts 25% of households potentially in need, assuming a proportion will be renting out of choice. </w:t>
      </w:r>
      <w:bookmarkStart w:id="229" w:name="_Hlk55504573"/>
      <w:r w:rsidRPr="009E1BB6">
        <w:t>This assumption is based on consistent results for surveys and polls at the national level which demonstrate that most households (typically 80% or more) aspire to home ownership.</w:t>
      </w:r>
      <w:r w:rsidRPr="009E1BB6">
        <w:footnoteReference w:id="18"/>
      </w:r>
      <w:r w:rsidRPr="009E1BB6">
        <w:t xml:space="preserve"> No robust indicator exists for this area or a wider scale to suggest aspirations may be higher or lower in the NA. </w:t>
      </w:r>
    </w:p>
    <w:p w14:paraId="35C08AED" w14:textId="77777777" w:rsidR="00434C10" w:rsidRDefault="00434C10" w:rsidP="00434C10">
      <w:pPr>
        <w:pStyle w:val="AppendixText"/>
        <w:numPr>
          <w:ilvl w:val="0"/>
          <w:numId w:val="0"/>
        </w:numPr>
        <w:ind w:left="862"/>
        <w:jc w:val="both"/>
      </w:pPr>
    </w:p>
    <w:p w14:paraId="58906C1C" w14:textId="77777777" w:rsidR="00434C10" w:rsidRDefault="00434C10" w:rsidP="00434C10">
      <w:pPr>
        <w:pStyle w:val="AppendixText"/>
        <w:numPr>
          <w:ilvl w:val="0"/>
          <w:numId w:val="0"/>
        </w:numPr>
        <w:ind w:left="862"/>
        <w:jc w:val="both"/>
      </w:pPr>
    </w:p>
    <w:p w14:paraId="433D5EC1" w14:textId="77777777" w:rsidR="00434C10" w:rsidRDefault="00434C10" w:rsidP="00434C10">
      <w:pPr>
        <w:pStyle w:val="AppendixText"/>
        <w:numPr>
          <w:ilvl w:val="0"/>
          <w:numId w:val="0"/>
        </w:numPr>
        <w:ind w:left="862"/>
        <w:jc w:val="both"/>
      </w:pPr>
    </w:p>
    <w:p w14:paraId="48728BC3" w14:textId="77777777" w:rsidR="00434C10" w:rsidRDefault="00434C10" w:rsidP="00434C10">
      <w:pPr>
        <w:pStyle w:val="AppendixText"/>
        <w:numPr>
          <w:ilvl w:val="0"/>
          <w:numId w:val="0"/>
        </w:numPr>
        <w:ind w:left="862"/>
        <w:jc w:val="both"/>
      </w:pPr>
    </w:p>
    <w:p w14:paraId="49FF4C30" w14:textId="77777777" w:rsidR="00434C10" w:rsidRDefault="00434C10" w:rsidP="00434C10">
      <w:pPr>
        <w:pStyle w:val="AppendixText"/>
        <w:numPr>
          <w:ilvl w:val="0"/>
          <w:numId w:val="0"/>
        </w:numPr>
        <w:ind w:left="862"/>
        <w:jc w:val="both"/>
      </w:pPr>
    </w:p>
    <w:p w14:paraId="77505611" w14:textId="77777777" w:rsidR="00434C10" w:rsidRDefault="00434C10" w:rsidP="00434C10">
      <w:pPr>
        <w:pStyle w:val="AppendixText"/>
        <w:numPr>
          <w:ilvl w:val="0"/>
          <w:numId w:val="0"/>
        </w:numPr>
        <w:ind w:left="862"/>
        <w:jc w:val="both"/>
      </w:pPr>
    </w:p>
    <w:p w14:paraId="52BBF2CC" w14:textId="77777777" w:rsidR="00434C10" w:rsidRDefault="00434C10" w:rsidP="00434C10">
      <w:pPr>
        <w:pStyle w:val="AppendixText"/>
        <w:numPr>
          <w:ilvl w:val="0"/>
          <w:numId w:val="0"/>
        </w:numPr>
        <w:ind w:left="862"/>
        <w:jc w:val="both"/>
      </w:pPr>
    </w:p>
    <w:p w14:paraId="6578AD2F" w14:textId="77777777" w:rsidR="00434C10" w:rsidRDefault="00434C10" w:rsidP="00434C10">
      <w:pPr>
        <w:pStyle w:val="AppendixText"/>
        <w:numPr>
          <w:ilvl w:val="0"/>
          <w:numId w:val="0"/>
        </w:numPr>
        <w:ind w:left="862"/>
        <w:jc w:val="both"/>
      </w:pPr>
    </w:p>
    <w:p w14:paraId="2AD7C48E" w14:textId="77777777" w:rsidR="00434C10" w:rsidRDefault="00434C10" w:rsidP="00434C10">
      <w:pPr>
        <w:pStyle w:val="AppendixText"/>
        <w:numPr>
          <w:ilvl w:val="0"/>
          <w:numId w:val="0"/>
        </w:numPr>
        <w:ind w:left="862"/>
        <w:jc w:val="both"/>
      </w:pPr>
    </w:p>
    <w:p w14:paraId="0C2B32FC" w14:textId="77777777" w:rsidR="00434C10" w:rsidRDefault="00434C10" w:rsidP="00434C10">
      <w:pPr>
        <w:pStyle w:val="AppendixText"/>
        <w:numPr>
          <w:ilvl w:val="0"/>
          <w:numId w:val="0"/>
        </w:numPr>
        <w:ind w:left="862"/>
        <w:jc w:val="both"/>
      </w:pPr>
    </w:p>
    <w:p w14:paraId="43A67599" w14:textId="77777777" w:rsidR="00434C10" w:rsidRDefault="00434C10" w:rsidP="00434C10">
      <w:pPr>
        <w:pStyle w:val="AppendixText"/>
        <w:numPr>
          <w:ilvl w:val="0"/>
          <w:numId w:val="0"/>
        </w:numPr>
        <w:ind w:left="862"/>
        <w:jc w:val="both"/>
      </w:pPr>
    </w:p>
    <w:p w14:paraId="1811DF0B" w14:textId="77777777" w:rsidR="00434C10" w:rsidRDefault="00434C10" w:rsidP="00434C10">
      <w:pPr>
        <w:pStyle w:val="AppendixText"/>
        <w:numPr>
          <w:ilvl w:val="0"/>
          <w:numId w:val="0"/>
        </w:numPr>
        <w:ind w:left="862"/>
        <w:jc w:val="both"/>
      </w:pPr>
    </w:p>
    <w:p w14:paraId="0CAAB769" w14:textId="77777777" w:rsidR="00434C10" w:rsidRDefault="00434C10" w:rsidP="00434C10">
      <w:pPr>
        <w:pStyle w:val="AppendixText"/>
        <w:numPr>
          <w:ilvl w:val="0"/>
          <w:numId w:val="0"/>
        </w:numPr>
        <w:ind w:left="862"/>
        <w:jc w:val="both"/>
      </w:pPr>
    </w:p>
    <w:p w14:paraId="38CF6217" w14:textId="77777777" w:rsidR="00434C10" w:rsidRPr="009E1BB6" w:rsidRDefault="00434C10" w:rsidP="00C60545">
      <w:pPr>
        <w:pStyle w:val="AppendixText"/>
        <w:numPr>
          <w:ilvl w:val="0"/>
          <w:numId w:val="0"/>
        </w:numPr>
        <w:ind w:left="862"/>
        <w:jc w:val="both"/>
        <w:rPr>
          <w:bCs/>
        </w:rPr>
      </w:pPr>
    </w:p>
    <w:p w14:paraId="7D9D066C" w14:textId="1CFCAF87" w:rsidR="00201C53" w:rsidRPr="009E1BB6" w:rsidRDefault="00201C53" w:rsidP="00252C91">
      <w:pPr>
        <w:pStyle w:val="Caption"/>
        <w:jc w:val="both"/>
        <w:rPr>
          <w:color w:val="auto"/>
        </w:rPr>
      </w:pPr>
      <w:bookmarkStart w:id="230" w:name="_Ref5217836"/>
      <w:bookmarkEnd w:id="229"/>
      <w:r w:rsidRPr="009E1BB6">
        <w:rPr>
          <w:color w:val="auto"/>
        </w:rPr>
        <w:lastRenderedPageBreak/>
        <w:t xml:space="preserve">Table D-2: Estimate of the potential demand for affordable housing for sale in </w:t>
      </w:r>
      <w:r w:rsidR="00D143F2">
        <w:rPr>
          <w:color w:val="auto"/>
        </w:rPr>
        <w:t>Consett</w:t>
      </w:r>
      <w:r w:rsidRPr="009E1BB6">
        <w:rPr>
          <w:color w:val="auto"/>
        </w:rPr>
        <w:tab/>
      </w:r>
    </w:p>
    <w:tbl>
      <w:tblPr>
        <w:tblW w:w="98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179"/>
        <w:gridCol w:w="4255"/>
      </w:tblGrid>
      <w:tr w:rsidR="009E1BB6" w:rsidRPr="009E1BB6" w14:paraId="29F9E831" w14:textId="77777777" w:rsidTr="00193122">
        <w:trPr>
          <w:trHeight w:val="217"/>
        </w:trPr>
        <w:tc>
          <w:tcPr>
            <w:tcW w:w="4395" w:type="dxa"/>
            <w:shd w:val="clear" w:color="auto" w:fill="auto"/>
            <w:noWrap/>
            <w:vAlign w:val="bottom"/>
            <w:hideMark/>
          </w:tcPr>
          <w:p w14:paraId="0C0C4DC8" w14:textId="77777777" w:rsidR="00201C53" w:rsidRPr="009E1BB6" w:rsidRDefault="00201C53" w:rsidP="00252C91">
            <w:pPr>
              <w:spacing w:line="276" w:lineRule="auto"/>
              <w:jc w:val="both"/>
              <w:rPr>
                <w:b/>
                <w:bCs/>
              </w:rPr>
            </w:pPr>
            <w:r w:rsidRPr="009E1BB6">
              <w:rPr>
                <w:b/>
                <w:bCs/>
              </w:rPr>
              <w:t>Stage and Step in Calculation</w:t>
            </w:r>
          </w:p>
        </w:tc>
        <w:tc>
          <w:tcPr>
            <w:tcW w:w="1179" w:type="dxa"/>
            <w:shd w:val="clear" w:color="auto" w:fill="auto"/>
            <w:noWrap/>
            <w:vAlign w:val="bottom"/>
            <w:hideMark/>
          </w:tcPr>
          <w:p w14:paraId="4F109E8A" w14:textId="77777777" w:rsidR="00201C53" w:rsidRPr="009E1BB6" w:rsidRDefault="00201C53" w:rsidP="00252C91">
            <w:pPr>
              <w:spacing w:line="276" w:lineRule="auto"/>
              <w:jc w:val="both"/>
              <w:rPr>
                <w:b/>
                <w:bCs/>
              </w:rPr>
            </w:pPr>
            <w:r w:rsidRPr="009E1BB6">
              <w:rPr>
                <w:b/>
                <w:bCs/>
              </w:rPr>
              <w:t>Total</w:t>
            </w:r>
          </w:p>
        </w:tc>
        <w:tc>
          <w:tcPr>
            <w:tcW w:w="4255" w:type="dxa"/>
            <w:shd w:val="clear" w:color="auto" w:fill="auto"/>
            <w:noWrap/>
            <w:vAlign w:val="bottom"/>
            <w:hideMark/>
          </w:tcPr>
          <w:p w14:paraId="4B9EE667" w14:textId="77777777" w:rsidR="00201C53" w:rsidRPr="009E1BB6" w:rsidRDefault="00201C53" w:rsidP="00252C91">
            <w:pPr>
              <w:spacing w:line="276" w:lineRule="auto"/>
              <w:jc w:val="both"/>
              <w:rPr>
                <w:b/>
                <w:bCs/>
              </w:rPr>
            </w:pPr>
            <w:r w:rsidRPr="009E1BB6">
              <w:rPr>
                <w:b/>
                <w:bCs/>
              </w:rPr>
              <w:t>Description</w:t>
            </w:r>
          </w:p>
        </w:tc>
      </w:tr>
      <w:tr w:rsidR="009E1BB6" w:rsidRPr="009E1BB6" w14:paraId="7D51C4FB" w14:textId="77777777" w:rsidTr="00A27979">
        <w:trPr>
          <w:trHeight w:val="217"/>
        </w:trPr>
        <w:tc>
          <w:tcPr>
            <w:tcW w:w="9829" w:type="dxa"/>
            <w:gridSpan w:val="3"/>
            <w:shd w:val="clear" w:color="000000" w:fill="FFFFFF"/>
            <w:noWrap/>
            <w:hideMark/>
          </w:tcPr>
          <w:p w14:paraId="734D736B" w14:textId="77777777" w:rsidR="00201C53" w:rsidRPr="00193122" w:rsidRDefault="00201C53" w:rsidP="00252C91">
            <w:pPr>
              <w:spacing w:line="276" w:lineRule="auto"/>
              <w:jc w:val="both"/>
              <w:rPr>
                <w:b/>
                <w:bCs/>
              </w:rPr>
            </w:pPr>
            <w:r w:rsidRPr="00193122">
              <w:rPr>
                <w:b/>
                <w:bCs/>
              </w:rPr>
              <w:t>STAGE 1: CURRENT NEED</w:t>
            </w:r>
          </w:p>
        </w:tc>
      </w:tr>
      <w:tr w:rsidR="00193122" w:rsidRPr="009E1BB6" w14:paraId="4B4D0AD7" w14:textId="77777777" w:rsidTr="00193122">
        <w:trPr>
          <w:trHeight w:val="217"/>
        </w:trPr>
        <w:tc>
          <w:tcPr>
            <w:tcW w:w="4395" w:type="dxa"/>
            <w:shd w:val="clear" w:color="000000" w:fill="FFFFFF"/>
            <w:noWrap/>
            <w:hideMark/>
          </w:tcPr>
          <w:p w14:paraId="44FECDCA" w14:textId="77777777" w:rsidR="00193122" w:rsidRPr="00193122" w:rsidRDefault="00193122" w:rsidP="00193122">
            <w:pPr>
              <w:spacing w:line="276" w:lineRule="auto"/>
              <w:jc w:val="both"/>
            </w:pPr>
            <w:r w:rsidRPr="00193122">
              <w:t>1.1 Current number of renters in NA</w:t>
            </w:r>
          </w:p>
        </w:tc>
        <w:tc>
          <w:tcPr>
            <w:tcW w:w="117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299AEA" w14:textId="60AC7229" w:rsidR="00193122" w:rsidRPr="00193122" w:rsidRDefault="00193122" w:rsidP="00193122">
            <w:pPr>
              <w:spacing w:line="276" w:lineRule="auto"/>
              <w:jc w:val="center"/>
            </w:pPr>
            <w:r w:rsidRPr="00193122">
              <w:rPr>
                <w:rFonts w:ascii="Arial" w:hAnsi="Arial" w:cs="Arial"/>
                <w:color w:val="000000"/>
                <w:sz w:val="22"/>
                <w:szCs w:val="22"/>
              </w:rPr>
              <w:t>3,105.0</w:t>
            </w:r>
          </w:p>
        </w:tc>
        <w:tc>
          <w:tcPr>
            <w:tcW w:w="4255" w:type="dxa"/>
            <w:shd w:val="clear" w:color="000000" w:fill="FFFFFF"/>
            <w:noWrap/>
            <w:hideMark/>
          </w:tcPr>
          <w:p w14:paraId="1D290FBA" w14:textId="77777777" w:rsidR="00193122" w:rsidRPr="00193122" w:rsidRDefault="00193122" w:rsidP="00193122">
            <w:pPr>
              <w:spacing w:line="276" w:lineRule="auto"/>
              <w:jc w:val="both"/>
            </w:pPr>
            <w:r w:rsidRPr="00193122">
              <w:t>Census 2021 private rented occupancy.</w:t>
            </w:r>
          </w:p>
        </w:tc>
      </w:tr>
      <w:tr w:rsidR="00193122" w:rsidRPr="009E1BB6" w14:paraId="275AEA1D" w14:textId="77777777" w:rsidTr="00193122">
        <w:trPr>
          <w:trHeight w:val="217"/>
        </w:trPr>
        <w:tc>
          <w:tcPr>
            <w:tcW w:w="4395" w:type="dxa"/>
            <w:shd w:val="clear" w:color="000000" w:fill="FFFFFF"/>
            <w:noWrap/>
            <w:hideMark/>
          </w:tcPr>
          <w:p w14:paraId="65A5C3C1" w14:textId="77777777" w:rsidR="00193122" w:rsidRPr="00193122" w:rsidRDefault="00193122" w:rsidP="00193122">
            <w:pPr>
              <w:spacing w:line="276" w:lineRule="auto"/>
              <w:jc w:val="both"/>
            </w:pPr>
            <w:r w:rsidRPr="00193122">
              <w:t>1.2 Percentage renters on housing benefit in LA</w:t>
            </w:r>
          </w:p>
        </w:tc>
        <w:tc>
          <w:tcPr>
            <w:tcW w:w="117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53A14D" w14:textId="18E250E2" w:rsidR="00193122" w:rsidRPr="00193122" w:rsidRDefault="00193122" w:rsidP="00193122">
            <w:pPr>
              <w:spacing w:line="276" w:lineRule="auto"/>
              <w:jc w:val="center"/>
            </w:pPr>
            <w:r w:rsidRPr="00193122">
              <w:rPr>
                <w:rFonts w:ascii="Arial" w:hAnsi="Arial" w:cs="Arial"/>
                <w:color w:val="000000"/>
                <w:sz w:val="22"/>
                <w:szCs w:val="22"/>
              </w:rPr>
              <w:t>50.0%</w:t>
            </w:r>
          </w:p>
        </w:tc>
        <w:tc>
          <w:tcPr>
            <w:tcW w:w="4255" w:type="dxa"/>
            <w:shd w:val="clear" w:color="000000" w:fill="FFFFFF"/>
            <w:noWrap/>
            <w:hideMark/>
          </w:tcPr>
          <w:p w14:paraId="5A5FC6CF" w14:textId="77777777" w:rsidR="00193122" w:rsidRPr="00193122" w:rsidRDefault="00193122" w:rsidP="00193122">
            <w:pPr>
              <w:spacing w:line="276" w:lineRule="auto"/>
              <w:jc w:val="both"/>
            </w:pPr>
            <w:r w:rsidRPr="00193122">
              <w:t>% of renters in 2021 on Housing Benefit / Universal Credit with housing entitlement</w:t>
            </w:r>
          </w:p>
        </w:tc>
      </w:tr>
      <w:tr w:rsidR="00193122" w:rsidRPr="009E1BB6" w14:paraId="6BFB2508" w14:textId="77777777" w:rsidTr="00193122">
        <w:trPr>
          <w:trHeight w:val="217"/>
        </w:trPr>
        <w:tc>
          <w:tcPr>
            <w:tcW w:w="4395" w:type="dxa"/>
            <w:shd w:val="clear" w:color="000000" w:fill="FFFFFF"/>
            <w:noWrap/>
            <w:hideMark/>
          </w:tcPr>
          <w:p w14:paraId="65D41820" w14:textId="77777777" w:rsidR="00193122" w:rsidRPr="00193122" w:rsidRDefault="00193122" w:rsidP="00193122">
            <w:pPr>
              <w:spacing w:line="276" w:lineRule="auto"/>
              <w:jc w:val="both"/>
            </w:pPr>
            <w:r w:rsidRPr="00193122">
              <w:t>1.3 Number of renters on housing benefits in the NA</w:t>
            </w:r>
          </w:p>
        </w:tc>
        <w:tc>
          <w:tcPr>
            <w:tcW w:w="117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4AE694E" w14:textId="1CB717A7" w:rsidR="00193122" w:rsidRPr="00193122" w:rsidRDefault="00193122" w:rsidP="00193122">
            <w:pPr>
              <w:spacing w:line="276" w:lineRule="auto"/>
              <w:jc w:val="center"/>
            </w:pPr>
            <w:r w:rsidRPr="00193122">
              <w:rPr>
                <w:rFonts w:ascii="Arial" w:hAnsi="Arial" w:cs="Arial"/>
                <w:color w:val="000000"/>
                <w:sz w:val="22"/>
                <w:szCs w:val="22"/>
              </w:rPr>
              <w:t>1,552.5</w:t>
            </w:r>
          </w:p>
        </w:tc>
        <w:tc>
          <w:tcPr>
            <w:tcW w:w="4255" w:type="dxa"/>
            <w:shd w:val="clear" w:color="000000" w:fill="FFFFFF"/>
            <w:noWrap/>
            <w:hideMark/>
          </w:tcPr>
          <w:p w14:paraId="020A9B79" w14:textId="77777777" w:rsidR="00193122" w:rsidRPr="00193122" w:rsidRDefault="00193122" w:rsidP="00193122">
            <w:pPr>
              <w:spacing w:line="276" w:lineRule="auto"/>
              <w:jc w:val="both"/>
            </w:pPr>
            <w:r w:rsidRPr="00193122">
              <w:t>Step 1.1 x Step 1.2.</w:t>
            </w:r>
          </w:p>
        </w:tc>
      </w:tr>
      <w:tr w:rsidR="00193122" w:rsidRPr="009E1BB6" w14:paraId="6323D798" w14:textId="77777777" w:rsidTr="00193122">
        <w:trPr>
          <w:trHeight w:val="217"/>
        </w:trPr>
        <w:tc>
          <w:tcPr>
            <w:tcW w:w="4395" w:type="dxa"/>
            <w:shd w:val="clear" w:color="000000" w:fill="FFFFFF"/>
            <w:noWrap/>
            <w:hideMark/>
          </w:tcPr>
          <w:p w14:paraId="1CC886F7" w14:textId="77777777" w:rsidR="00193122" w:rsidRPr="00193122" w:rsidRDefault="00193122" w:rsidP="00193122">
            <w:pPr>
              <w:spacing w:line="276" w:lineRule="auto"/>
              <w:jc w:val="both"/>
            </w:pPr>
            <w:r w:rsidRPr="00193122">
              <w:t>1.4 Current need (households)</w:t>
            </w:r>
          </w:p>
        </w:tc>
        <w:tc>
          <w:tcPr>
            <w:tcW w:w="117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EE813A" w14:textId="37132674" w:rsidR="00193122" w:rsidRPr="00193122" w:rsidRDefault="00193122" w:rsidP="00193122">
            <w:pPr>
              <w:spacing w:line="276" w:lineRule="auto"/>
              <w:jc w:val="center"/>
            </w:pPr>
            <w:r w:rsidRPr="00193122">
              <w:rPr>
                <w:rFonts w:ascii="Arial" w:hAnsi="Arial" w:cs="Arial"/>
                <w:color w:val="000000"/>
                <w:sz w:val="22"/>
                <w:szCs w:val="22"/>
              </w:rPr>
              <w:t>1,164.4</w:t>
            </w:r>
          </w:p>
        </w:tc>
        <w:tc>
          <w:tcPr>
            <w:tcW w:w="4255" w:type="dxa"/>
            <w:shd w:val="clear" w:color="000000" w:fill="FFFFFF"/>
            <w:noWrap/>
            <w:hideMark/>
          </w:tcPr>
          <w:p w14:paraId="7FE0838E" w14:textId="77777777" w:rsidR="00193122" w:rsidRPr="00193122" w:rsidRDefault="00193122" w:rsidP="00193122">
            <w:pPr>
              <w:spacing w:line="276" w:lineRule="auto"/>
              <w:jc w:val="both"/>
            </w:pPr>
            <w:r w:rsidRPr="00193122">
              <w:t>Current renters minus those on housing benefit and minus 25% assumed to rent by choice.</w:t>
            </w:r>
            <w:r w:rsidRPr="00193122">
              <w:rPr>
                <w:rStyle w:val="FootnoteReference"/>
              </w:rPr>
              <w:footnoteReference w:id="19"/>
            </w:r>
          </w:p>
        </w:tc>
      </w:tr>
      <w:tr w:rsidR="00193122" w:rsidRPr="009E1BB6" w14:paraId="3481C435" w14:textId="77777777" w:rsidTr="00193122">
        <w:trPr>
          <w:trHeight w:val="217"/>
        </w:trPr>
        <w:tc>
          <w:tcPr>
            <w:tcW w:w="4395" w:type="dxa"/>
            <w:shd w:val="clear" w:color="000000" w:fill="FFFFFF"/>
            <w:noWrap/>
            <w:hideMark/>
          </w:tcPr>
          <w:p w14:paraId="7112C98B" w14:textId="77777777" w:rsidR="00193122" w:rsidRPr="00193122" w:rsidRDefault="00193122" w:rsidP="00193122">
            <w:pPr>
              <w:spacing w:line="276" w:lineRule="auto"/>
              <w:jc w:val="both"/>
            </w:pPr>
            <w:r w:rsidRPr="00193122">
              <w:t>1.5 Per annum</w:t>
            </w:r>
          </w:p>
        </w:tc>
        <w:tc>
          <w:tcPr>
            <w:tcW w:w="117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CAC5D7" w14:textId="72588550" w:rsidR="00193122" w:rsidRPr="00193122" w:rsidRDefault="00193122" w:rsidP="00193122">
            <w:pPr>
              <w:spacing w:line="276" w:lineRule="auto"/>
              <w:jc w:val="center"/>
              <w:rPr>
                <w:b/>
                <w:bCs/>
              </w:rPr>
            </w:pPr>
            <w:r w:rsidRPr="00193122">
              <w:rPr>
                <w:rFonts w:ascii="Arial" w:hAnsi="Arial" w:cs="Arial"/>
                <w:b/>
                <w:bCs/>
                <w:color w:val="000000"/>
                <w:sz w:val="22"/>
                <w:szCs w:val="22"/>
              </w:rPr>
              <w:t>72.8</w:t>
            </w:r>
          </w:p>
        </w:tc>
        <w:tc>
          <w:tcPr>
            <w:tcW w:w="4255" w:type="dxa"/>
            <w:shd w:val="clear" w:color="000000" w:fill="FFFFFF"/>
            <w:noWrap/>
            <w:hideMark/>
          </w:tcPr>
          <w:p w14:paraId="1614BC20" w14:textId="77777777" w:rsidR="00193122" w:rsidRPr="00193122" w:rsidRDefault="00193122" w:rsidP="00193122">
            <w:pPr>
              <w:spacing w:line="276" w:lineRule="auto"/>
              <w:jc w:val="both"/>
            </w:pPr>
            <w:r w:rsidRPr="00193122">
              <w:t>Step 1.4 divided by plan period.</w:t>
            </w:r>
          </w:p>
        </w:tc>
      </w:tr>
      <w:tr w:rsidR="00193122" w:rsidRPr="009E1BB6" w14:paraId="4BC72859" w14:textId="77777777" w:rsidTr="00A27979">
        <w:trPr>
          <w:trHeight w:val="217"/>
        </w:trPr>
        <w:tc>
          <w:tcPr>
            <w:tcW w:w="9829" w:type="dxa"/>
            <w:gridSpan w:val="3"/>
            <w:shd w:val="clear" w:color="000000" w:fill="FFFFFF"/>
            <w:noWrap/>
            <w:hideMark/>
          </w:tcPr>
          <w:p w14:paraId="71510203" w14:textId="77777777" w:rsidR="00193122" w:rsidRPr="00193122" w:rsidRDefault="00193122" w:rsidP="00193122">
            <w:pPr>
              <w:spacing w:line="276" w:lineRule="auto"/>
              <w:jc w:val="both"/>
              <w:rPr>
                <w:b/>
                <w:bCs/>
              </w:rPr>
            </w:pPr>
            <w:r w:rsidRPr="00193122">
              <w:rPr>
                <w:b/>
                <w:bCs/>
              </w:rPr>
              <w:t>STAGE 2: NEWLY ARISING NEED</w:t>
            </w:r>
          </w:p>
        </w:tc>
      </w:tr>
      <w:tr w:rsidR="00193122" w:rsidRPr="009E1BB6" w14:paraId="45DE3FC7" w14:textId="77777777" w:rsidTr="00193122">
        <w:trPr>
          <w:trHeight w:val="217"/>
        </w:trPr>
        <w:tc>
          <w:tcPr>
            <w:tcW w:w="4395" w:type="dxa"/>
            <w:shd w:val="clear" w:color="000000" w:fill="FFFFFF"/>
            <w:noWrap/>
            <w:hideMark/>
          </w:tcPr>
          <w:p w14:paraId="3263B088" w14:textId="77777777" w:rsidR="00193122" w:rsidRPr="00193122" w:rsidRDefault="00193122" w:rsidP="00193122">
            <w:pPr>
              <w:spacing w:line="276" w:lineRule="auto"/>
              <w:jc w:val="both"/>
            </w:pPr>
            <w:r w:rsidRPr="00193122">
              <w:t>2.1 New household formation</w:t>
            </w:r>
          </w:p>
        </w:tc>
        <w:tc>
          <w:tcPr>
            <w:tcW w:w="117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780ED9" w14:textId="32EBD780" w:rsidR="00193122" w:rsidRPr="00193122" w:rsidRDefault="00193122" w:rsidP="00193122">
            <w:pPr>
              <w:spacing w:line="276" w:lineRule="auto"/>
              <w:jc w:val="center"/>
            </w:pPr>
            <w:r w:rsidRPr="00193122">
              <w:rPr>
                <w:rFonts w:ascii="Arial" w:hAnsi="Arial" w:cs="Arial"/>
                <w:color w:val="000000"/>
                <w:sz w:val="22"/>
                <w:szCs w:val="22"/>
              </w:rPr>
              <w:t>1,189.1</w:t>
            </w:r>
          </w:p>
        </w:tc>
        <w:tc>
          <w:tcPr>
            <w:tcW w:w="4255" w:type="dxa"/>
            <w:shd w:val="clear" w:color="000000" w:fill="FFFFFF"/>
            <w:noWrap/>
            <w:hideMark/>
          </w:tcPr>
          <w:p w14:paraId="59DE7292" w14:textId="77777777" w:rsidR="00193122" w:rsidRPr="00193122" w:rsidRDefault="00193122" w:rsidP="00193122">
            <w:pPr>
              <w:spacing w:line="276" w:lineRule="auto"/>
              <w:jc w:val="both"/>
            </w:pPr>
            <w:r w:rsidRPr="00193122">
              <w:t xml:space="preserve">LA household projections for plan period (2018 based) </w:t>
            </w:r>
            <w:proofErr w:type="spellStart"/>
            <w:r w:rsidRPr="00193122">
              <w:t>pro rated</w:t>
            </w:r>
            <w:proofErr w:type="spellEnd"/>
            <w:r w:rsidRPr="00193122">
              <w:t xml:space="preserve"> to NA.</w:t>
            </w:r>
          </w:p>
        </w:tc>
      </w:tr>
      <w:tr w:rsidR="00193122" w:rsidRPr="009E1BB6" w14:paraId="7BB4F6DB" w14:textId="77777777" w:rsidTr="00193122">
        <w:trPr>
          <w:trHeight w:val="217"/>
        </w:trPr>
        <w:tc>
          <w:tcPr>
            <w:tcW w:w="4395" w:type="dxa"/>
            <w:shd w:val="clear" w:color="000000" w:fill="FFFFFF"/>
            <w:noWrap/>
            <w:hideMark/>
          </w:tcPr>
          <w:p w14:paraId="7A418EFB" w14:textId="77777777" w:rsidR="00193122" w:rsidRPr="00193122" w:rsidRDefault="00193122" w:rsidP="00193122">
            <w:pPr>
              <w:spacing w:line="276" w:lineRule="auto"/>
              <w:jc w:val="both"/>
            </w:pPr>
            <w:r w:rsidRPr="00193122">
              <w:t>2.2 % of households unable to buy but able to rent</w:t>
            </w:r>
          </w:p>
        </w:tc>
        <w:tc>
          <w:tcPr>
            <w:tcW w:w="1179" w:type="dxa"/>
            <w:tcBorders>
              <w:top w:val="nil"/>
              <w:left w:val="single" w:sz="4" w:space="0" w:color="auto"/>
              <w:bottom w:val="single" w:sz="4" w:space="0" w:color="auto"/>
              <w:right w:val="single" w:sz="4" w:space="0" w:color="auto"/>
            </w:tcBorders>
            <w:shd w:val="clear" w:color="000000" w:fill="FFFFFF"/>
            <w:noWrap/>
            <w:vAlign w:val="center"/>
            <w:hideMark/>
          </w:tcPr>
          <w:p w14:paraId="40171D48" w14:textId="7104296C" w:rsidR="00193122" w:rsidRPr="00193122" w:rsidRDefault="00193122" w:rsidP="00193122">
            <w:pPr>
              <w:spacing w:line="276" w:lineRule="auto"/>
              <w:jc w:val="center"/>
            </w:pPr>
            <w:r w:rsidRPr="00193122">
              <w:rPr>
                <w:rFonts w:ascii="Arial" w:hAnsi="Arial" w:cs="Arial"/>
                <w:color w:val="000000"/>
                <w:sz w:val="22"/>
                <w:szCs w:val="22"/>
              </w:rPr>
              <w:t>6.7%</w:t>
            </w:r>
          </w:p>
        </w:tc>
        <w:tc>
          <w:tcPr>
            <w:tcW w:w="4255" w:type="dxa"/>
            <w:shd w:val="clear" w:color="000000" w:fill="FFFFFF"/>
            <w:noWrap/>
            <w:hideMark/>
          </w:tcPr>
          <w:p w14:paraId="51CB34C9" w14:textId="77777777" w:rsidR="00193122" w:rsidRPr="00193122" w:rsidRDefault="00193122" w:rsidP="00193122">
            <w:pPr>
              <w:spacing w:line="276" w:lineRule="auto"/>
              <w:jc w:val="both"/>
            </w:pPr>
            <w:r w:rsidRPr="00193122">
              <w:t>(Step 1.4 + Step 3.1) divided by number of households in NA.</w:t>
            </w:r>
          </w:p>
        </w:tc>
      </w:tr>
      <w:tr w:rsidR="00193122" w:rsidRPr="009E1BB6" w14:paraId="77A3793C" w14:textId="77777777" w:rsidTr="00193122">
        <w:trPr>
          <w:trHeight w:val="217"/>
        </w:trPr>
        <w:tc>
          <w:tcPr>
            <w:tcW w:w="4395" w:type="dxa"/>
            <w:shd w:val="clear" w:color="000000" w:fill="FFFFFF"/>
            <w:noWrap/>
            <w:hideMark/>
          </w:tcPr>
          <w:p w14:paraId="686F28B7" w14:textId="77777777" w:rsidR="00193122" w:rsidRPr="00193122" w:rsidRDefault="00193122" w:rsidP="00193122">
            <w:pPr>
              <w:spacing w:line="276" w:lineRule="auto"/>
              <w:jc w:val="both"/>
            </w:pPr>
            <w:r w:rsidRPr="00193122">
              <w:t>2.3 Total newly arising need</w:t>
            </w:r>
          </w:p>
        </w:tc>
        <w:tc>
          <w:tcPr>
            <w:tcW w:w="1179" w:type="dxa"/>
            <w:tcBorders>
              <w:top w:val="nil"/>
              <w:left w:val="single" w:sz="4" w:space="0" w:color="auto"/>
              <w:bottom w:val="single" w:sz="4" w:space="0" w:color="auto"/>
              <w:right w:val="single" w:sz="4" w:space="0" w:color="auto"/>
            </w:tcBorders>
            <w:shd w:val="clear" w:color="000000" w:fill="FFFFFF"/>
            <w:noWrap/>
            <w:vAlign w:val="center"/>
            <w:hideMark/>
          </w:tcPr>
          <w:p w14:paraId="0B79E9BF" w14:textId="47B61509" w:rsidR="00193122" w:rsidRPr="00193122" w:rsidRDefault="00193122" w:rsidP="00193122">
            <w:pPr>
              <w:spacing w:line="276" w:lineRule="auto"/>
              <w:jc w:val="center"/>
            </w:pPr>
            <w:r w:rsidRPr="00193122">
              <w:rPr>
                <w:rFonts w:ascii="Arial" w:hAnsi="Arial" w:cs="Arial"/>
                <w:color w:val="000000"/>
                <w:sz w:val="22"/>
                <w:szCs w:val="22"/>
              </w:rPr>
              <w:t>80.2</w:t>
            </w:r>
          </w:p>
        </w:tc>
        <w:tc>
          <w:tcPr>
            <w:tcW w:w="4255" w:type="dxa"/>
            <w:shd w:val="clear" w:color="000000" w:fill="FFFFFF"/>
            <w:noWrap/>
            <w:hideMark/>
          </w:tcPr>
          <w:p w14:paraId="5F090220" w14:textId="77777777" w:rsidR="00193122" w:rsidRPr="00193122" w:rsidRDefault="00193122" w:rsidP="00193122">
            <w:pPr>
              <w:spacing w:line="276" w:lineRule="auto"/>
              <w:jc w:val="both"/>
            </w:pPr>
            <w:r w:rsidRPr="00193122">
              <w:t>Step 2.1 x Step 2.2.</w:t>
            </w:r>
          </w:p>
        </w:tc>
      </w:tr>
      <w:tr w:rsidR="00193122" w:rsidRPr="009E1BB6" w14:paraId="1F2C5A91" w14:textId="77777777" w:rsidTr="00193122">
        <w:trPr>
          <w:trHeight w:val="217"/>
        </w:trPr>
        <w:tc>
          <w:tcPr>
            <w:tcW w:w="4395" w:type="dxa"/>
            <w:shd w:val="clear" w:color="000000" w:fill="FFFFFF"/>
            <w:noWrap/>
            <w:hideMark/>
          </w:tcPr>
          <w:p w14:paraId="556EFD6A" w14:textId="77777777" w:rsidR="00193122" w:rsidRPr="00193122" w:rsidRDefault="00193122" w:rsidP="00193122">
            <w:pPr>
              <w:spacing w:line="276" w:lineRule="auto"/>
              <w:jc w:val="both"/>
            </w:pPr>
            <w:r w:rsidRPr="00193122">
              <w:t>2.4 Total newly arising need per annum</w:t>
            </w:r>
          </w:p>
        </w:tc>
        <w:tc>
          <w:tcPr>
            <w:tcW w:w="1179" w:type="dxa"/>
            <w:tcBorders>
              <w:top w:val="nil"/>
              <w:left w:val="single" w:sz="4" w:space="0" w:color="auto"/>
              <w:bottom w:val="single" w:sz="4" w:space="0" w:color="auto"/>
              <w:right w:val="single" w:sz="4" w:space="0" w:color="auto"/>
            </w:tcBorders>
            <w:shd w:val="clear" w:color="000000" w:fill="FFFFFF"/>
            <w:noWrap/>
            <w:vAlign w:val="center"/>
            <w:hideMark/>
          </w:tcPr>
          <w:p w14:paraId="1DFCA6D9" w14:textId="2F51DD67" w:rsidR="00193122" w:rsidRPr="00193122" w:rsidRDefault="00193122" w:rsidP="00193122">
            <w:pPr>
              <w:spacing w:line="276" w:lineRule="auto"/>
              <w:jc w:val="center"/>
              <w:rPr>
                <w:b/>
                <w:bCs/>
              </w:rPr>
            </w:pPr>
            <w:r w:rsidRPr="00193122">
              <w:rPr>
                <w:rFonts w:ascii="Arial" w:hAnsi="Arial" w:cs="Arial"/>
                <w:b/>
                <w:bCs/>
                <w:color w:val="000000"/>
                <w:sz w:val="22"/>
                <w:szCs w:val="22"/>
              </w:rPr>
              <w:t>5.0</w:t>
            </w:r>
          </w:p>
        </w:tc>
        <w:tc>
          <w:tcPr>
            <w:tcW w:w="4255" w:type="dxa"/>
            <w:shd w:val="clear" w:color="000000" w:fill="FFFFFF"/>
            <w:noWrap/>
            <w:hideMark/>
          </w:tcPr>
          <w:p w14:paraId="0099966C" w14:textId="77777777" w:rsidR="00193122" w:rsidRPr="00193122" w:rsidRDefault="00193122" w:rsidP="00193122">
            <w:pPr>
              <w:spacing w:line="276" w:lineRule="auto"/>
              <w:jc w:val="both"/>
            </w:pPr>
            <w:r w:rsidRPr="00193122">
              <w:t>Step 2.3 divided by plan period.</w:t>
            </w:r>
          </w:p>
        </w:tc>
      </w:tr>
      <w:tr w:rsidR="00193122" w:rsidRPr="009E1BB6" w14:paraId="764EFA3D" w14:textId="77777777" w:rsidTr="00A27979">
        <w:trPr>
          <w:trHeight w:val="217"/>
        </w:trPr>
        <w:tc>
          <w:tcPr>
            <w:tcW w:w="9829" w:type="dxa"/>
            <w:gridSpan w:val="3"/>
            <w:shd w:val="clear" w:color="000000" w:fill="FFFFFF"/>
            <w:noWrap/>
            <w:hideMark/>
          </w:tcPr>
          <w:p w14:paraId="039B4266" w14:textId="77777777" w:rsidR="00193122" w:rsidRPr="00193122" w:rsidRDefault="00193122" w:rsidP="00193122">
            <w:pPr>
              <w:spacing w:line="276" w:lineRule="auto"/>
              <w:jc w:val="both"/>
              <w:rPr>
                <w:b/>
                <w:bCs/>
              </w:rPr>
            </w:pPr>
            <w:r w:rsidRPr="00193122">
              <w:rPr>
                <w:b/>
                <w:bCs/>
              </w:rPr>
              <w:t>STAGE 3: SUPPLY OF AFFORDABLE HOUSING</w:t>
            </w:r>
          </w:p>
        </w:tc>
      </w:tr>
      <w:tr w:rsidR="00193122" w:rsidRPr="009E1BB6" w14:paraId="50392597" w14:textId="77777777" w:rsidTr="00193122">
        <w:trPr>
          <w:trHeight w:val="217"/>
        </w:trPr>
        <w:tc>
          <w:tcPr>
            <w:tcW w:w="4395" w:type="dxa"/>
            <w:shd w:val="clear" w:color="000000" w:fill="FFFFFF"/>
            <w:noWrap/>
            <w:hideMark/>
          </w:tcPr>
          <w:p w14:paraId="4EE2DAAD" w14:textId="77777777" w:rsidR="00193122" w:rsidRPr="00193122" w:rsidRDefault="00193122" w:rsidP="00193122">
            <w:pPr>
              <w:spacing w:line="276" w:lineRule="auto"/>
              <w:jc w:val="both"/>
            </w:pPr>
            <w:r w:rsidRPr="00193122">
              <w:t>3.1 Supply of affordable housing</w:t>
            </w:r>
          </w:p>
        </w:tc>
        <w:tc>
          <w:tcPr>
            <w:tcW w:w="117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EBFF47" w14:textId="0969996E" w:rsidR="00193122" w:rsidRPr="00193122" w:rsidRDefault="00193122" w:rsidP="00193122">
            <w:pPr>
              <w:spacing w:line="276" w:lineRule="auto"/>
              <w:jc w:val="center"/>
            </w:pPr>
            <w:r w:rsidRPr="00193122">
              <w:rPr>
                <w:rFonts w:ascii="Arial" w:hAnsi="Arial" w:cs="Arial"/>
                <w:color w:val="000000"/>
                <w:sz w:val="22"/>
                <w:szCs w:val="22"/>
              </w:rPr>
              <w:t>43.0</w:t>
            </w:r>
          </w:p>
        </w:tc>
        <w:tc>
          <w:tcPr>
            <w:tcW w:w="4255" w:type="dxa"/>
            <w:shd w:val="clear" w:color="000000" w:fill="FFFFFF"/>
            <w:noWrap/>
            <w:hideMark/>
          </w:tcPr>
          <w:p w14:paraId="4BAD3E3A" w14:textId="77777777" w:rsidR="00193122" w:rsidRPr="00193122" w:rsidRDefault="00193122" w:rsidP="00193122">
            <w:pPr>
              <w:spacing w:line="276" w:lineRule="auto"/>
              <w:jc w:val="both"/>
            </w:pPr>
            <w:r w:rsidRPr="00193122">
              <w:t>Number of shared ownership homes in the NA (Census 2021).</w:t>
            </w:r>
          </w:p>
        </w:tc>
      </w:tr>
      <w:tr w:rsidR="00193122" w:rsidRPr="009E1BB6" w14:paraId="23C10DC5" w14:textId="77777777" w:rsidTr="00193122">
        <w:trPr>
          <w:trHeight w:val="217"/>
        </w:trPr>
        <w:tc>
          <w:tcPr>
            <w:tcW w:w="4395" w:type="dxa"/>
            <w:shd w:val="clear" w:color="000000" w:fill="FFFFFF"/>
            <w:noWrap/>
            <w:hideMark/>
          </w:tcPr>
          <w:p w14:paraId="3B63E89F" w14:textId="77777777" w:rsidR="00193122" w:rsidRPr="00193122" w:rsidRDefault="00193122" w:rsidP="00193122">
            <w:pPr>
              <w:spacing w:line="276" w:lineRule="auto"/>
              <w:jc w:val="both"/>
            </w:pPr>
            <w:r w:rsidRPr="00193122">
              <w:t>3.2 Supply - intermediate resales</w:t>
            </w:r>
          </w:p>
        </w:tc>
        <w:tc>
          <w:tcPr>
            <w:tcW w:w="1179" w:type="dxa"/>
            <w:tcBorders>
              <w:top w:val="nil"/>
              <w:left w:val="single" w:sz="4" w:space="0" w:color="auto"/>
              <w:bottom w:val="single" w:sz="4" w:space="0" w:color="auto"/>
              <w:right w:val="single" w:sz="4" w:space="0" w:color="auto"/>
            </w:tcBorders>
            <w:shd w:val="clear" w:color="000000" w:fill="FFFFFF"/>
            <w:noWrap/>
            <w:vAlign w:val="center"/>
            <w:hideMark/>
          </w:tcPr>
          <w:p w14:paraId="02E002A4" w14:textId="48148AF1" w:rsidR="00193122" w:rsidRPr="00193122" w:rsidRDefault="00193122" w:rsidP="00193122">
            <w:pPr>
              <w:spacing w:line="276" w:lineRule="auto"/>
              <w:jc w:val="center"/>
              <w:rPr>
                <w:b/>
                <w:bCs/>
              </w:rPr>
            </w:pPr>
            <w:r w:rsidRPr="00193122">
              <w:rPr>
                <w:rFonts w:ascii="Arial" w:hAnsi="Arial" w:cs="Arial"/>
                <w:b/>
                <w:bCs/>
                <w:color w:val="000000"/>
                <w:sz w:val="22"/>
                <w:szCs w:val="22"/>
              </w:rPr>
              <w:t>2.2</w:t>
            </w:r>
          </w:p>
        </w:tc>
        <w:tc>
          <w:tcPr>
            <w:tcW w:w="4255" w:type="dxa"/>
            <w:shd w:val="clear" w:color="000000" w:fill="FFFFFF"/>
            <w:noWrap/>
            <w:hideMark/>
          </w:tcPr>
          <w:p w14:paraId="66D2101D" w14:textId="77777777" w:rsidR="00193122" w:rsidRPr="00193122" w:rsidRDefault="00193122" w:rsidP="00193122">
            <w:pPr>
              <w:spacing w:line="276" w:lineRule="auto"/>
              <w:jc w:val="both"/>
            </w:pPr>
            <w:r w:rsidRPr="00193122">
              <w:t>Step 3.1 x 5% (assumed rate of re-sale).</w:t>
            </w:r>
          </w:p>
        </w:tc>
      </w:tr>
      <w:tr w:rsidR="00193122" w:rsidRPr="009E1BB6" w14:paraId="0A01A1EE" w14:textId="77777777" w:rsidTr="00A27979">
        <w:trPr>
          <w:trHeight w:val="226"/>
        </w:trPr>
        <w:tc>
          <w:tcPr>
            <w:tcW w:w="9829" w:type="dxa"/>
            <w:gridSpan w:val="3"/>
            <w:shd w:val="clear" w:color="000000" w:fill="FFFFFF"/>
            <w:noWrap/>
            <w:hideMark/>
          </w:tcPr>
          <w:p w14:paraId="4039F1E5" w14:textId="57230EF9" w:rsidR="00193122" w:rsidRPr="00193122" w:rsidRDefault="00193122" w:rsidP="00193122">
            <w:pPr>
              <w:spacing w:line="276" w:lineRule="auto"/>
              <w:jc w:val="both"/>
              <w:rPr>
                <w:b/>
                <w:bCs/>
              </w:rPr>
            </w:pPr>
            <w:r w:rsidRPr="00193122">
              <w:rPr>
                <w:b/>
                <w:bCs/>
              </w:rPr>
              <w:t>NET SHORTFALL PER ANNUM</w:t>
            </w:r>
          </w:p>
        </w:tc>
      </w:tr>
      <w:tr w:rsidR="00193122" w:rsidRPr="009E1BB6" w14:paraId="1E74571E" w14:textId="77777777" w:rsidTr="00193122">
        <w:trPr>
          <w:trHeight w:val="226"/>
        </w:trPr>
        <w:tc>
          <w:tcPr>
            <w:tcW w:w="4395" w:type="dxa"/>
            <w:shd w:val="clear" w:color="000000" w:fill="FFFFFF"/>
            <w:noWrap/>
            <w:hideMark/>
          </w:tcPr>
          <w:p w14:paraId="7BADE2BA" w14:textId="770254F9" w:rsidR="00193122" w:rsidRPr="00193122" w:rsidRDefault="00193122" w:rsidP="00193122">
            <w:pPr>
              <w:spacing w:line="276" w:lineRule="auto"/>
              <w:jc w:val="both"/>
              <w:rPr>
                <w:b/>
              </w:rPr>
            </w:pPr>
            <w:r w:rsidRPr="00193122">
              <w:t>Overall shortfall per annum</w:t>
            </w:r>
          </w:p>
        </w:tc>
        <w:tc>
          <w:tcPr>
            <w:tcW w:w="1179" w:type="dxa"/>
            <w:shd w:val="clear" w:color="auto" w:fill="auto"/>
            <w:noWrap/>
            <w:hideMark/>
          </w:tcPr>
          <w:p w14:paraId="58DFED69" w14:textId="7E0F7AED" w:rsidR="00193122" w:rsidRPr="00193122" w:rsidRDefault="00193122" w:rsidP="00193122">
            <w:pPr>
              <w:tabs>
                <w:tab w:val="clear" w:pos="284"/>
              </w:tabs>
              <w:spacing w:line="240" w:lineRule="auto"/>
              <w:jc w:val="center"/>
              <w:rPr>
                <w:rFonts w:ascii="Arial" w:hAnsi="Arial" w:cs="Arial"/>
                <w:b/>
                <w:bCs/>
                <w:color w:val="000000"/>
                <w:kern w:val="0"/>
                <w:sz w:val="22"/>
                <w:szCs w:val="22"/>
              </w:rPr>
            </w:pPr>
            <w:r w:rsidRPr="00193122">
              <w:rPr>
                <w:rFonts w:ascii="Arial" w:hAnsi="Arial" w:cs="Arial"/>
                <w:b/>
                <w:bCs/>
                <w:color w:val="000000"/>
                <w:sz w:val="22"/>
                <w:szCs w:val="22"/>
              </w:rPr>
              <w:t>75.6</w:t>
            </w:r>
          </w:p>
        </w:tc>
        <w:tc>
          <w:tcPr>
            <w:tcW w:w="4255" w:type="dxa"/>
            <w:shd w:val="clear" w:color="000000" w:fill="FFFFFF"/>
            <w:noWrap/>
            <w:hideMark/>
          </w:tcPr>
          <w:p w14:paraId="21A3A818" w14:textId="77777777" w:rsidR="00193122" w:rsidRPr="00193122" w:rsidRDefault="00193122" w:rsidP="00193122">
            <w:pPr>
              <w:spacing w:line="276" w:lineRule="auto"/>
              <w:jc w:val="both"/>
              <w:rPr>
                <w:b/>
              </w:rPr>
            </w:pPr>
            <w:r w:rsidRPr="00193122">
              <w:t>(Step 1.5 + Step 2.4) - Step 3.2.</w:t>
            </w:r>
          </w:p>
        </w:tc>
      </w:tr>
    </w:tbl>
    <w:p w14:paraId="5C5FABCF" w14:textId="0B25A2E9" w:rsidR="00C639E2" w:rsidRPr="009E1BB6" w:rsidRDefault="00201C53" w:rsidP="00C60545">
      <w:pPr>
        <w:pStyle w:val="Source"/>
        <w:jc w:val="both"/>
      </w:pPr>
      <w:r w:rsidRPr="009E1BB6">
        <w:t>Source: AECOM model, using Census 2011, English Housing Survey</w:t>
      </w:r>
      <w:r w:rsidRPr="009E1BB6">
        <w:rPr>
          <w:bCs/>
        </w:rPr>
        <w:t xml:space="preserve"> 2018</w:t>
      </w:r>
      <w:r w:rsidRPr="009E1BB6">
        <w:t xml:space="preserve">, </w:t>
      </w:r>
      <w:r w:rsidR="00A52AF1" w:rsidRPr="009E1BB6">
        <w:t>MHCLG</w:t>
      </w:r>
      <w:r w:rsidRPr="009E1BB6">
        <w:t xml:space="preserve"> </w:t>
      </w:r>
      <w:r w:rsidRPr="009E1BB6">
        <w:rPr>
          <w:bCs/>
        </w:rPr>
        <w:t xml:space="preserve">2018 based </w:t>
      </w:r>
      <w:r w:rsidRPr="009E1BB6">
        <w:t>household projections and ne</w:t>
      </w:r>
      <w:r w:rsidRPr="009E1BB6">
        <w:rPr>
          <w:bCs/>
        </w:rPr>
        <w:t>t</w:t>
      </w:r>
      <w:r w:rsidRPr="009E1BB6">
        <w:t xml:space="preserve"> additions to affordable housing stock. 2018 is the latest reliable data for some datasets so is used throughout for consistency.</w:t>
      </w:r>
    </w:p>
    <w:p w14:paraId="395BB3DE" w14:textId="7FE3AC8D" w:rsidR="00201C53" w:rsidRPr="009E1BB6" w:rsidRDefault="00201C53" w:rsidP="00252C91">
      <w:pPr>
        <w:pStyle w:val="AppendixText"/>
        <w:jc w:val="both"/>
        <w:rPr>
          <w:bCs/>
        </w:rPr>
      </w:pPr>
      <w:r w:rsidRPr="009E1BB6">
        <w:t>There is no policy or legal obligation on the part either of the Local Authority or Neighbourhood Plan to meet affordable housing needs in full, though there are tools available to the Steering Group that can help ensure that it is met to a greater extent if resources permit (e.g. the ability to allocate sites for affordable housing).</w:t>
      </w:r>
    </w:p>
    <w:p w14:paraId="0E10287D" w14:textId="77777777" w:rsidR="00201C53" w:rsidRPr="009E1BB6" w:rsidRDefault="00201C53" w:rsidP="00252C91">
      <w:pPr>
        <w:pStyle w:val="AppendixText"/>
        <w:jc w:val="both"/>
        <w:rPr>
          <w:bCs/>
        </w:rPr>
      </w:pPr>
      <w:r w:rsidRPr="009E1BB6">
        <w:t xml:space="preserve">It is also important to remember that even after the Neighbourhood Plan is adopted, the assessment of need for Affordable Housing, the allocation of affordable rented </w:t>
      </w:r>
      <w:r w:rsidRPr="009E1BB6">
        <w:lastRenderedPageBreak/>
        <w:t xml:space="preserve">housing to those in need, and the management of the housing waiting list all remain the responsibility of the Local Authority rather than the neighbourhood planning group. </w:t>
      </w:r>
    </w:p>
    <w:p w14:paraId="1CEDF8E9" w14:textId="77777777" w:rsidR="00201C53" w:rsidRPr="009E1BB6" w:rsidRDefault="00201C53" w:rsidP="00252C91">
      <w:pPr>
        <w:pStyle w:val="Appendixheading2"/>
        <w:jc w:val="both"/>
        <w:rPr>
          <w:color w:val="auto"/>
        </w:rPr>
      </w:pPr>
      <w:r w:rsidRPr="009E1BB6">
        <w:rPr>
          <w:color w:val="auto"/>
        </w:rPr>
        <w:t xml:space="preserve">Affordable housing policy </w:t>
      </w:r>
    </w:p>
    <w:p w14:paraId="7072D0A4" w14:textId="77777777" w:rsidR="00201C53" w:rsidRPr="009E1BB6" w:rsidRDefault="00201C53" w:rsidP="00252C91">
      <w:pPr>
        <w:pStyle w:val="AppendixText"/>
        <w:jc w:val="both"/>
        <w:rPr>
          <w:bCs/>
        </w:rPr>
      </w:pPr>
      <w:r w:rsidRPr="009E1BB6">
        <w:t>The following table reviews the relevant factors in developing a policy on the Affordable Housing tenure mix, which inform the recommendation given in the main body of the report.</w:t>
      </w:r>
    </w:p>
    <w:bookmarkEnd w:id="230"/>
    <w:p w14:paraId="7FBB2726" w14:textId="77777777" w:rsidR="00201C53" w:rsidRPr="009E1BB6" w:rsidRDefault="00201C53" w:rsidP="00252C91">
      <w:pPr>
        <w:pStyle w:val="Caption"/>
        <w:jc w:val="both"/>
        <w:rPr>
          <w:color w:val="auto"/>
        </w:rPr>
      </w:pPr>
      <w:r w:rsidRPr="009E1BB6">
        <w:rPr>
          <w:color w:val="auto"/>
        </w:rPr>
        <w:t xml:space="preserve">Table D-3: Wider considerations in developing Affordable Housing mix policy </w:t>
      </w:r>
    </w:p>
    <w:tbl>
      <w:tblPr>
        <w:tblStyle w:val="TableGrid50"/>
        <w:tblW w:w="9781" w:type="dxa"/>
        <w:tblInd w:w="-5" w:type="dxa"/>
        <w:tblLook w:val="04A0" w:firstRow="1" w:lastRow="0" w:firstColumn="1" w:lastColumn="0" w:noHBand="0" w:noVBand="1"/>
      </w:tblPr>
      <w:tblGrid>
        <w:gridCol w:w="4890"/>
        <w:gridCol w:w="4891"/>
      </w:tblGrid>
      <w:tr w:rsidR="00201C53" w:rsidRPr="009E27E9" w14:paraId="7B0E2780" w14:textId="77777777" w:rsidTr="00C639E2">
        <w:trPr>
          <w:cnfStyle w:val="100000000000" w:firstRow="1" w:lastRow="0" w:firstColumn="0" w:lastColumn="0" w:oddVBand="0" w:evenVBand="0" w:oddHBand="0" w:evenHBand="0" w:firstRowFirstColumn="0" w:firstRowLastColumn="0" w:lastRowFirstColumn="0" w:lastRowLastColumn="0"/>
        </w:trPr>
        <w:tc>
          <w:tcPr>
            <w:tcW w:w="4890" w:type="dxa"/>
            <w:shd w:val="clear" w:color="auto" w:fill="000000" w:themeFill="text1"/>
          </w:tcPr>
          <w:p w14:paraId="49D9DB82" w14:textId="77777777" w:rsidR="00201C53" w:rsidRPr="009E27E9" w:rsidRDefault="00201C53" w:rsidP="00252C91">
            <w:pPr>
              <w:tabs>
                <w:tab w:val="clear" w:pos="284"/>
              </w:tabs>
              <w:spacing w:before="60" w:after="120" w:line="276" w:lineRule="auto"/>
              <w:jc w:val="both"/>
              <w:rPr>
                <w:rFonts w:ascii="Arial" w:eastAsia="Calibri" w:hAnsi="Arial" w:cs="Arial"/>
                <w:b/>
                <w:lang w:val="en-US"/>
              </w:rPr>
            </w:pPr>
            <w:r w:rsidRPr="009E27E9">
              <w:rPr>
                <w:rFonts w:ascii="Arial" w:eastAsia="Calibri" w:hAnsi="Arial" w:cs="Arial"/>
                <w:b/>
                <w:lang w:val="en-US"/>
              </w:rPr>
              <w:t>Consideration</w:t>
            </w:r>
          </w:p>
        </w:tc>
        <w:tc>
          <w:tcPr>
            <w:tcW w:w="4891" w:type="dxa"/>
            <w:shd w:val="clear" w:color="auto" w:fill="000000" w:themeFill="text1"/>
          </w:tcPr>
          <w:p w14:paraId="45C6EA0F" w14:textId="77777777" w:rsidR="00201C53" w:rsidRPr="009E27E9" w:rsidRDefault="00201C53" w:rsidP="00252C91">
            <w:pPr>
              <w:tabs>
                <w:tab w:val="clear" w:pos="284"/>
              </w:tabs>
              <w:spacing w:before="60" w:after="120" w:line="276" w:lineRule="auto"/>
              <w:jc w:val="both"/>
              <w:rPr>
                <w:rFonts w:ascii="Arial" w:eastAsia="Calibri" w:hAnsi="Arial" w:cs="Arial"/>
                <w:b/>
                <w:lang w:val="en-US"/>
              </w:rPr>
            </w:pPr>
            <w:r w:rsidRPr="009E27E9">
              <w:rPr>
                <w:rFonts w:ascii="Arial" w:eastAsia="Calibri" w:hAnsi="Arial" w:cs="Arial"/>
                <w:b/>
                <w:lang w:val="en-US"/>
              </w:rPr>
              <w:t>Local Evidence</w:t>
            </w:r>
          </w:p>
        </w:tc>
      </w:tr>
      <w:tr w:rsidR="00201C53" w:rsidRPr="009E27E9" w14:paraId="30A90305" w14:textId="77777777" w:rsidTr="00C639E2">
        <w:tc>
          <w:tcPr>
            <w:tcW w:w="4890" w:type="dxa"/>
          </w:tcPr>
          <w:p w14:paraId="690E4279" w14:textId="77777777" w:rsidR="00201C53" w:rsidRPr="009E27E9" w:rsidRDefault="00201C53" w:rsidP="00252C91">
            <w:pPr>
              <w:numPr>
                <w:ilvl w:val="0"/>
                <w:numId w:val="25"/>
              </w:numPr>
              <w:tabs>
                <w:tab w:val="clear" w:pos="284"/>
              </w:tabs>
              <w:spacing w:before="60" w:after="120" w:line="276" w:lineRule="auto"/>
              <w:ind w:left="360"/>
              <w:jc w:val="both"/>
              <w:rPr>
                <w:rFonts w:ascii="Arial" w:eastAsia="Calibri" w:hAnsi="Arial" w:cs="Arial"/>
                <w:lang w:val="en-US"/>
              </w:rPr>
            </w:pPr>
            <w:r w:rsidRPr="009E27E9">
              <w:rPr>
                <w:rFonts w:ascii="Arial" w:eastAsia="Calibri" w:hAnsi="Arial" w:cs="Arial"/>
                <w:b/>
                <w:lang w:val="en-US"/>
              </w:rPr>
              <w:t>Evidence of need for Affordable Housing</w:t>
            </w:r>
            <w:r w:rsidRPr="009E27E9">
              <w:rPr>
                <w:rFonts w:ascii="Arial" w:eastAsia="Calibri" w:hAnsi="Arial" w:cs="Arial"/>
                <w:lang w:val="en-US"/>
              </w:rPr>
              <w:t xml:space="preserve">: </w:t>
            </w:r>
          </w:p>
          <w:p w14:paraId="6319083A" w14:textId="77777777" w:rsidR="00201C53" w:rsidRPr="009E27E9" w:rsidRDefault="00201C53" w:rsidP="00252C91">
            <w:pPr>
              <w:spacing w:after="120" w:line="276" w:lineRule="auto"/>
              <w:jc w:val="both"/>
              <w:rPr>
                <w:rFonts w:ascii="Arial" w:eastAsia="Calibri" w:hAnsi="Arial" w:cs="Arial"/>
                <w:lang w:val="en-US"/>
              </w:rPr>
            </w:pPr>
            <w:r w:rsidRPr="009E27E9">
              <w:rPr>
                <w:rFonts w:ascii="Arial" w:eastAsia="Calibri" w:hAnsi="Arial" w:cs="Arial"/>
                <w:lang w:val="en-US"/>
              </w:rPr>
              <w:t xml:space="preserve">The need for affordable rent and affordable home ownership is not directly equivalent: the former expresses the identified need of a group with acute needs and no alternative options; the latter expresses potential demand from a group who are generally adequately housed in rented accommodation and may not be able to afford the deposit to transition to ownership. </w:t>
            </w:r>
          </w:p>
          <w:p w14:paraId="525D84F7" w14:textId="77777777" w:rsidR="00201C53" w:rsidRPr="009E27E9" w:rsidRDefault="00201C53" w:rsidP="00252C91">
            <w:pPr>
              <w:tabs>
                <w:tab w:val="clear" w:pos="284"/>
              </w:tabs>
              <w:spacing w:before="60" w:after="120" w:line="276" w:lineRule="auto"/>
              <w:jc w:val="both"/>
              <w:rPr>
                <w:rFonts w:ascii="Arial" w:eastAsia="Calibri" w:hAnsi="Arial" w:cs="Arial"/>
                <w:lang w:val="en-US"/>
              </w:rPr>
            </w:pPr>
          </w:p>
        </w:tc>
        <w:tc>
          <w:tcPr>
            <w:tcW w:w="4891" w:type="dxa"/>
          </w:tcPr>
          <w:p w14:paraId="68C2E726" w14:textId="22BB5D13" w:rsidR="00201C53" w:rsidRPr="009E27E9" w:rsidRDefault="00201C53" w:rsidP="00252C91">
            <w:pPr>
              <w:tabs>
                <w:tab w:val="clear" w:pos="284"/>
              </w:tabs>
              <w:spacing w:before="60" w:after="120" w:line="276" w:lineRule="auto"/>
              <w:jc w:val="both"/>
              <w:rPr>
                <w:rFonts w:ascii="Arial" w:eastAsia="Calibri" w:hAnsi="Arial" w:cs="Arial"/>
                <w:lang w:val="en-US"/>
              </w:rPr>
            </w:pPr>
            <w:r w:rsidRPr="009E27E9">
              <w:rPr>
                <w:rFonts w:ascii="Arial" w:eastAsia="Calibri" w:hAnsi="Arial" w:cs="Arial"/>
                <w:lang w:val="en-US"/>
              </w:rPr>
              <w:t xml:space="preserve">This HNA suggests that the NA requires around </w:t>
            </w:r>
            <w:r w:rsidR="00893FD6">
              <w:rPr>
                <w:rFonts w:ascii="Arial" w:eastAsia="Calibri" w:hAnsi="Arial" w:cs="Arial"/>
                <w:lang w:val="en-US"/>
              </w:rPr>
              <w:t>160</w:t>
            </w:r>
            <w:r>
              <w:rPr>
                <w:rFonts w:ascii="Arial" w:eastAsia="Calibri" w:hAnsi="Arial" w:cs="Arial"/>
                <w:lang w:val="en-US"/>
              </w:rPr>
              <w:t xml:space="preserve"> </w:t>
            </w:r>
            <w:r w:rsidRPr="009E27E9">
              <w:rPr>
                <w:rFonts w:ascii="Arial" w:eastAsia="Calibri" w:hAnsi="Arial" w:cs="Arial"/>
                <w:lang w:val="en-US"/>
              </w:rPr>
              <w:t xml:space="preserve">units of affordable rented housing and </w:t>
            </w:r>
            <w:r w:rsidR="00893FD6">
              <w:rPr>
                <w:rFonts w:ascii="Arial" w:eastAsia="Calibri" w:hAnsi="Arial" w:cs="Arial"/>
                <w:lang w:val="en-US"/>
              </w:rPr>
              <w:t>76</w:t>
            </w:r>
            <w:r w:rsidRPr="009E27E9">
              <w:rPr>
                <w:rFonts w:ascii="Arial" w:eastAsia="Calibri" w:hAnsi="Arial" w:cs="Arial"/>
                <w:lang w:val="en-US"/>
              </w:rPr>
              <w:t xml:space="preserve"> units of affordable home ownership homes per annum over </w:t>
            </w:r>
            <w:r w:rsidR="0096304E">
              <w:rPr>
                <w:rFonts w:ascii="Arial" w:eastAsia="Calibri" w:hAnsi="Arial" w:cs="Arial"/>
                <w:lang w:val="en-US"/>
              </w:rPr>
              <w:t>the Neighbourhood Plan period</w:t>
            </w:r>
            <w:r w:rsidRPr="009E27E9">
              <w:rPr>
                <w:rFonts w:ascii="Arial" w:eastAsia="Calibri" w:hAnsi="Arial" w:cs="Arial"/>
                <w:lang w:val="en-US"/>
              </w:rPr>
              <w:t xml:space="preserve">. Both forms of Affordable Housing appear to be valuable in meeting the needs of people on various incomes. </w:t>
            </w:r>
          </w:p>
          <w:p w14:paraId="23F7EF1B" w14:textId="0A8A6435" w:rsidR="00F83F45" w:rsidRDefault="00201C53" w:rsidP="00252C91">
            <w:pPr>
              <w:tabs>
                <w:tab w:val="clear" w:pos="284"/>
              </w:tabs>
              <w:spacing w:before="60" w:after="120" w:line="276" w:lineRule="auto"/>
              <w:jc w:val="both"/>
              <w:rPr>
                <w:rFonts w:ascii="Arial" w:eastAsia="Calibri" w:hAnsi="Arial" w:cs="Arial"/>
                <w:lang w:val="en-US"/>
              </w:rPr>
            </w:pPr>
            <w:r w:rsidRPr="009E27E9">
              <w:rPr>
                <w:rFonts w:ascii="Arial" w:eastAsia="Calibri" w:hAnsi="Arial" w:cs="Arial"/>
                <w:lang w:val="en-US"/>
              </w:rPr>
              <w:t xml:space="preserve">The relationship between these figures suggests that </w:t>
            </w:r>
            <w:r w:rsidR="00F83F45">
              <w:rPr>
                <w:rFonts w:ascii="Arial" w:eastAsia="Calibri" w:hAnsi="Arial" w:cs="Arial"/>
                <w:lang w:val="en-US"/>
              </w:rPr>
              <w:t>social/affordable housing should be prioritized</w:t>
            </w:r>
            <w:r w:rsidR="00F2735E">
              <w:rPr>
                <w:rFonts w:ascii="Arial" w:eastAsia="Calibri" w:hAnsi="Arial" w:cs="Arial"/>
                <w:lang w:val="en-US"/>
              </w:rPr>
              <w:t xml:space="preserve"> in Consett. However, there remains a robust demand for Affordable Home ownership products. </w:t>
            </w:r>
          </w:p>
          <w:p w14:paraId="182A7A78" w14:textId="7A32ECF6" w:rsidR="00201C53" w:rsidRPr="009E27E9" w:rsidRDefault="00201C53" w:rsidP="00252C91">
            <w:pPr>
              <w:tabs>
                <w:tab w:val="clear" w:pos="284"/>
              </w:tabs>
              <w:spacing w:before="60" w:after="120" w:line="276" w:lineRule="auto"/>
              <w:jc w:val="both"/>
              <w:rPr>
                <w:rFonts w:ascii="Arial" w:eastAsia="Calibri" w:hAnsi="Arial" w:cs="Arial"/>
              </w:rPr>
            </w:pPr>
          </w:p>
        </w:tc>
      </w:tr>
      <w:tr w:rsidR="00201C53" w:rsidRPr="009E27E9" w14:paraId="23A84705" w14:textId="77777777" w:rsidTr="00C639E2">
        <w:tc>
          <w:tcPr>
            <w:tcW w:w="4890" w:type="dxa"/>
          </w:tcPr>
          <w:p w14:paraId="5EE59DD9" w14:textId="77777777" w:rsidR="00201C53" w:rsidRDefault="00201C53" w:rsidP="00252C91">
            <w:pPr>
              <w:numPr>
                <w:ilvl w:val="0"/>
                <w:numId w:val="25"/>
              </w:numPr>
              <w:tabs>
                <w:tab w:val="clear" w:pos="284"/>
              </w:tabs>
              <w:spacing w:before="60" w:after="120" w:line="276" w:lineRule="auto"/>
              <w:ind w:left="360"/>
              <w:jc w:val="both"/>
              <w:rPr>
                <w:rFonts w:ascii="Arial" w:eastAsia="Calibri" w:hAnsi="Arial" w:cs="Arial"/>
                <w:lang w:val="en-US"/>
              </w:rPr>
            </w:pPr>
            <w:r w:rsidRPr="009E27E9">
              <w:rPr>
                <w:rFonts w:ascii="Arial" w:eastAsia="Calibri" w:hAnsi="Arial" w:cs="Arial"/>
                <w:b/>
                <w:lang w:val="en-US"/>
              </w:rPr>
              <w:t>Can Affordable Housing needs be met in full?</w:t>
            </w:r>
            <w:r w:rsidRPr="009E27E9">
              <w:rPr>
                <w:rFonts w:ascii="Arial" w:eastAsia="Calibri" w:hAnsi="Arial" w:cs="Arial"/>
                <w:lang w:val="en-US"/>
              </w:rPr>
              <w:t xml:space="preserve"> </w:t>
            </w:r>
          </w:p>
          <w:p w14:paraId="29E56F2A" w14:textId="77777777" w:rsidR="00201C53" w:rsidRPr="009E27E9" w:rsidRDefault="00201C53" w:rsidP="00252C91">
            <w:pPr>
              <w:tabs>
                <w:tab w:val="clear" w:pos="284"/>
              </w:tabs>
              <w:spacing w:before="60" w:after="120" w:line="276" w:lineRule="auto"/>
              <w:jc w:val="both"/>
              <w:rPr>
                <w:rFonts w:ascii="Arial" w:eastAsia="Calibri" w:hAnsi="Arial" w:cs="Arial"/>
                <w:lang w:val="en-US"/>
              </w:rPr>
            </w:pPr>
            <w:r w:rsidRPr="009E27E9">
              <w:rPr>
                <w:rFonts w:ascii="Arial" w:eastAsia="Calibri" w:hAnsi="Arial" w:cs="Arial"/>
                <w:lang w:val="en-US"/>
              </w:rPr>
              <w:t xml:space="preserve">How far the more urgently needed affordable rented housing should be </w:t>
            </w:r>
            <w:proofErr w:type="spellStart"/>
            <w:r w:rsidRPr="009E27E9">
              <w:rPr>
                <w:rFonts w:ascii="Arial" w:eastAsia="Calibri" w:hAnsi="Arial" w:cs="Arial"/>
                <w:lang w:val="en-US"/>
              </w:rPr>
              <w:t>prioritised</w:t>
            </w:r>
            <w:proofErr w:type="spellEnd"/>
            <w:r w:rsidRPr="009E27E9">
              <w:rPr>
                <w:rFonts w:ascii="Arial" w:eastAsia="Calibri" w:hAnsi="Arial" w:cs="Arial"/>
                <w:lang w:val="en-US"/>
              </w:rPr>
              <w:t xml:space="preserve"> in the tenure mix depends on the quantity of overall housing delivery expected. </w:t>
            </w:r>
          </w:p>
          <w:p w14:paraId="61E67639" w14:textId="77777777" w:rsidR="00201C53" w:rsidRPr="009E27E9" w:rsidRDefault="00201C53" w:rsidP="00252C91">
            <w:pPr>
              <w:spacing w:after="120" w:line="276" w:lineRule="auto"/>
              <w:jc w:val="both"/>
              <w:rPr>
                <w:rFonts w:ascii="Arial" w:eastAsia="Calibri" w:hAnsi="Arial" w:cs="Arial"/>
                <w:b/>
                <w:lang w:val="en-US"/>
              </w:rPr>
            </w:pPr>
          </w:p>
        </w:tc>
        <w:tc>
          <w:tcPr>
            <w:tcW w:w="4891" w:type="dxa"/>
          </w:tcPr>
          <w:p w14:paraId="648BF119" w14:textId="3D79AE11" w:rsidR="005433AD" w:rsidRDefault="00E43E16" w:rsidP="00252C91">
            <w:pPr>
              <w:spacing w:after="120" w:line="276" w:lineRule="auto"/>
              <w:jc w:val="both"/>
              <w:rPr>
                <w:rFonts w:ascii="Arial" w:eastAsia="Calibri" w:hAnsi="Arial" w:cs="Arial"/>
                <w:lang w:val="en-US"/>
              </w:rPr>
            </w:pPr>
            <w:r>
              <w:rPr>
                <w:rFonts w:ascii="Arial" w:eastAsia="Calibri" w:hAnsi="Arial" w:cs="Arial"/>
                <w:lang w:val="en-US"/>
              </w:rPr>
              <w:t>As</w:t>
            </w:r>
            <w:r w:rsidR="005433AD">
              <w:rPr>
                <w:rFonts w:ascii="Arial" w:eastAsia="Calibri" w:hAnsi="Arial" w:cs="Arial"/>
                <w:lang w:val="en-US"/>
              </w:rPr>
              <w:t xml:space="preserve"> completions and commitments data </w:t>
            </w:r>
            <w:r w:rsidR="00852570">
              <w:rPr>
                <w:rFonts w:ascii="Arial" w:eastAsia="Calibri" w:hAnsi="Arial" w:cs="Arial"/>
                <w:lang w:val="en-US"/>
              </w:rPr>
              <w:t xml:space="preserve">exceeds housing allocations set out in the County Durham Local Plan, it is difficult to fully understand how much Affordable Housing </w:t>
            </w:r>
            <w:r w:rsidR="00687A36">
              <w:rPr>
                <w:rFonts w:ascii="Arial" w:eastAsia="Calibri" w:hAnsi="Arial" w:cs="Arial"/>
                <w:lang w:val="en-US"/>
              </w:rPr>
              <w:t xml:space="preserve">might be delivered in Consett over the Neighbourhood Plan period. </w:t>
            </w:r>
          </w:p>
          <w:p w14:paraId="2D39F63D" w14:textId="3A2BDFA7" w:rsidR="00201C53" w:rsidRPr="009E27E9" w:rsidRDefault="00687A36" w:rsidP="00355C26">
            <w:pPr>
              <w:spacing w:after="120" w:line="276" w:lineRule="auto"/>
              <w:jc w:val="both"/>
              <w:rPr>
                <w:rFonts w:ascii="Arial" w:eastAsia="Calibri" w:hAnsi="Arial" w:cs="Arial"/>
                <w:lang w:val="en-US"/>
              </w:rPr>
            </w:pPr>
            <w:r>
              <w:rPr>
                <w:rFonts w:ascii="Arial" w:eastAsia="Calibri" w:hAnsi="Arial" w:cs="Arial"/>
                <w:lang w:val="en-US"/>
              </w:rPr>
              <w:t xml:space="preserve">If </w:t>
            </w:r>
            <w:r w:rsidR="003158CF">
              <w:rPr>
                <w:rFonts w:ascii="Arial" w:eastAsia="Calibri" w:hAnsi="Arial" w:cs="Arial"/>
                <w:lang w:val="en-US"/>
              </w:rPr>
              <w:t xml:space="preserve">housing delivery over the </w:t>
            </w:r>
            <w:r>
              <w:rPr>
                <w:rFonts w:ascii="Arial" w:eastAsia="Calibri" w:hAnsi="Arial" w:cs="Arial"/>
                <w:lang w:val="en-US"/>
              </w:rPr>
              <w:t xml:space="preserve">next decade in the NA </w:t>
            </w:r>
            <w:r w:rsidR="003158CF">
              <w:rPr>
                <w:rFonts w:ascii="Arial" w:eastAsia="Calibri" w:hAnsi="Arial" w:cs="Arial"/>
                <w:lang w:val="en-US"/>
              </w:rPr>
              <w:t xml:space="preserve">is </w:t>
            </w:r>
            <w:r>
              <w:rPr>
                <w:rFonts w:ascii="Arial" w:eastAsia="Calibri" w:hAnsi="Arial" w:cs="Arial"/>
                <w:lang w:val="en-US"/>
              </w:rPr>
              <w:t xml:space="preserve">comparable </w:t>
            </w:r>
            <w:r w:rsidR="003158CF">
              <w:rPr>
                <w:rFonts w:ascii="Arial" w:eastAsia="Calibri" w:hAnsi="Arial" w:cs="Arial"/>
                <w:lang w:val="en-US"/>
              </w:rPr>
              <w:t xml:space="preserve">to the last 10 years, Consett could be expected to see some Affordable housing delivered over the Neighbourhood Plan period. However, </w:t>
            </w:r>
            <w:r w:rsidR="00E43E16">
              <w:rPr>
                <w:rFonts w:ascii="Arial" w:eastAsia="Calibri" w:hAnsi="Arial" w:cs="Arial"/>
                <w:lang w:val="en-US"/>
              </w:rPr>
              <w:t xml:space="preserve">given </w:t>
            </w:r>
            <w:r w:rsidR="003158CF">
              <w:rPr>
                <w:rFonts w:ascii="Arial" w:eastAsia="Calibri" w:hAnsi="Arial" w:cs="Arial"/>
                <w:lang w:val="en-US"/>
              </w:rPr>
              <w:t xml:space="preserve">the </w:t>
            </w:r>
            <w:r w:rsidR="00E43E16">
              <w:rPr>
                <w:rFonts w:ascii="Arial" w:eastAsia="Calibri" w:hAnsi="Arial" w:cs="Arial"/>
                <w:lang w:val="en-US"/>
              </w:rPr>
              <w:t>large number of applicants to the Affordable Housing waiting list</w:t>
            </w:r>
            <w:r w:rsidR="007D672E">
              <w:rPr>
                <w:rFonts w:ascii="Arial" w:eastAsia="Calibri" w:hAnsi="Arial" w:cs="Arial"/>
                <w:lang w:val="en-US"/>
              </w:rPr>
              <w:t xml:space="preserve"> </w:t>
            </w:r>
            <w:r w:rsidR="003158CF">
              <w:rPr>
                <w:rFonts w:ascii="Arial" w:eastAsia="Calibri" w:hAnsi="Arial" w:cs="Arial"/>
                <w:lang w:val="en-US"/>
              </w:rPr>
              <w:t xml:space="preserve">(3,392 applicants) </w:t>
            </w:r>
            <w:r w:rsidR="00355C26">
              <w:rPr>
                <w:rFonts w:ascii="Arial" w:eastAsia="Calibri" w:hAnsi="Arial" w:cs="Arial"/>
                <w:lang w:val="en-US"/>
              </w:rPr>
              <w:t>with a preference to live in Consett, it is unlikely that th</w:t>
            </w:r>
            <w:r w:rsidR="00E43E16">
              <w:rPr>
                <w:rFonts w:ascii="Arial" w:eastAsia="Calibri" w:hAnsi="Arial" w:cs="Arial"/>
                <w:lang w:val="en-US"/>
              </w:rPr>
              <w:t>e</w:t>
            </w:r>
            <w:r w:rsidR="00355C26">
              <w:rPr>
                <w:rFonts w:ascii="Arial" w:eastAsia="Calibri" w:hAnsi="Arial" w:cs="Arial"/>
                <w:lang w:val="en-US"/>
              </w:rPr>
              <w:t xml:space="preserve"> need established in this HNA will be fully met through new development in the NA. </w:t>
            </w:r>
          </w:p>
        </w:tc>
      </w:tr>
      <w:tr w:rsidR="00201C53" w:rsidRPr="009E27E9" w14:paraId="39DFDB61" w14:textId="77777777" w:rsidTr="00C639E2">
        <w:tc>
          <w:tcPr>
            <w:tcW w:w="4890" w:type="dxa"/>
          </w:tcPr>
          <w:p w14:paraId="09B961E3" w14:textId="77777777" w:rsidR="00201C53" w:rsidRDefault="00201C53" w:rsidP="00252C91">
            <w:pPr>
              <w:numPr>
                <w:ilvl w:val="0"/>
                <w:numId w:val="25"/>
              </w:numPr>
              <w:tabs>
                <w:tab w:val="clear" w:pos="284"/>
              </w:tabs>
              <w:spacing w:before="60" w:after="120" w:line="276" w:lineRule="auto"/>
              <w:ind w:left="360"/>
              <w:jc w:val="both"/>
              <w:rPr>
                <w:rFonts w:ascii="Arial" w:eastAsia="Calibri" w:hAnsi="Arial" w:cs="Arial"/>
                <w:lang w:val="en-US"/>
              </w:rPr>
            </w:pPr>
            <w:r w:rsidRPr="009E27E9">
              <w:rPr>
                <w:rFonts w:ascii="Arial" w:eastAsia="Calibri" w:hAnsi="Arial" w:cs="Arial"/>
                <w:b/>
                <w:lang w:val="en-US"/>
              </w:rPr>
              <w:lastRenderedPageBreak/>
              <w:t>Government policy (</w:t>
            </w:r>
            <w:proofErr w:type="spellStart"/>
            <w:r w:rsidRPr="009E27E9">
              <w:rPr>
                <w:rFonts w:ascii="Arial" w:eastAsia="Calibri" w:hAnsi="Arial" w:cs="Arial"/>
                <w:b/>
                <w:lang w:val="en-US"/>
              </w:rPr>
              <w:t>eg</w:t>
            </w:r>
            <w:proofErr w:type="spellEnd"/>
            <w:r w:rsidRPr="009E27E9">
              <w:rPr>
                <w:rFonts w:ascii="Arial" w:eastAsia="Calibri" w:hAnsi="Arial" w:cs="Arial"/>
                <w:b/>
                <w:lang w:val="en-US"/>
              </w:rPr>
              <w:t xml:space="preserve"> NPPF) requirements</w:t>
            </w:r>
            <w:r w:rsidRPr="009E27E9">
              <w:rPr>
                <w:rFonts w:ascii="Arial" w:eastAsia="Calibri" w:hAnsi="Arial" w:cs="Arial"/>
                <w:lang w:val="en-US"/>
              </w:rPr>
              <w:t xml:space="preserve">: </w:t>
            </w:r>
          </w:p>
          <w:p w14:paraId="27ECF77D" w14:textId="77777777" w:rsidR="00201C53" w:rsidRPr="009E27E9" w:rsidRDefault="00201C53" w:rsidP="00252C91">
            <w:pPr>
              <w:tabs>
                <w:tab w:val="clear" w:pos="284"/>
              </w:tabs>
              <w:spacing w:before="60" w:after="120" w:line="276" w:lineRule="auto"/>
              <w:jc w:val="both"/>
              <w:rPr>
                <w:rFonts w:ascii="Arial" w:eastAsia="Calibri" w:hAnsi="Arial" w:cs="Arial"/>
                <w:lang w:val="en-US"/>
              </w:rPr>
            </w:pPr>
            <w:r>
              <w:rPr>
                <w:rFonts w:ascii="Arial" w:eastAsia="Calibri" w:hAnsi="Arial" w:cs="Arial"/>
                <w:lang w:val="en-US"/>
              </w:rPr>
              <w:t>C</w:t>
            </w:r>
            <w:r w:rsidRPr="009E27E9">
              <w:rPr>
                <w:rFonts w:ascii="Arial" w:eastAsia="Calibri" w:hAnsi="Arial" w:cs="Arial"/>
                <w:lang w:val="en-US"/>
              </w:rPr>
              <w:t xml:space="preserve">urrent NPPF policy requires 10% of all homes to be delivered for affordable home ownership. There can be exceptions to this requirement if it would prevent the delivery of other forms of Affordable Housing. </w:t>
            </w:r>
          </w:p>
        </w:tc>
        <w:tc>
          <w:tcPr>
            <w:tcW w:w="4891" w:type="dxa"/>
          </w:tcPr>
          <w:p w14:paraId="48DF4ED3" w14:textId="402FCD2E" w:rsidR="00201C53" w:rsidRPr="00D950C3" w:rsidRDefault="00201C53" w:rsidP="00252C91">
            <w:pPr>
              <w:tabs>
                <w:tab w:val="clear" w:pos="284"/>
              </w:tabs>
              <w:spacing w:before="60" w:after="120" w:line="276" w:lineRule="auto"/>
              <w:jc w:val="both"/>
              <w:rPr>
                <w:rFonts w:ascii="Arial" w:eastAsia="Calibri" w:hAnsi="Arial" w:cs="Arial"/>
                <w:lang w:val="en-US"/>
              </w:rPr>
            </w:pPr>
            <w:r w:rsidRPr="00D950C3">
              <w:rPr>
                <w:rFonts w:ascii="Arial" w:eastAsia="Calibri" w:hAnsi="Arial" w:cs="Arial"/>
                <w:lang w:val="en-US"/>
              </w:rPr>
              <w:t xml:space="preserve">For 10% of all housing to be affordable ownership in </w:t>
            </w:r>
            <w:r w:rsidR="00D143F2" w:rsidRPr="00D950C3">
              <w:rPr>
                <w:rFonts w:ascii="Arial" w:eastAsia="Calibri" w:hAnsi="Arial" w:cs="Arial"/>
                <w:lang w:val="en-US"/>
              </w:rPr>
              <w:t>Consett</w:t>
            </w:r>
            <w:r w:rsidRPr="00D950C3">
              <w:rPr>
                <w:rFonts w:ascii="Arial" w:eastAsia="Calibri" w:hAnsi="Arial" w:cs="Arial"/>
                <w:lang w:val="en-US"/>
              </w:rPr>
              <w:t xml:space="preserve">, where </w:t>
            </w:r>
            <w:r w:rsidR="00EA5EC0" w:rsidRPr="00D950C3">
              <w:rPr>
                <w:rFonts w:ascii="Arial" w:eastAsia="Calibri" w:hAnsi="Arial" w:cs="Arial"/>
                <w:lang w:val="en-US"/>
              </w:rPr>
              <w:t>between 10</w:t>
            </w:r>
            <w:r w:rsidR="007D672E">
              <w:rPr>
                <w:rFonts w:ascii="Arial" w:eastAsia="Calibri" w:hAnsi="Arial" w:cs="Arial"/>
                <w:lang w:val="en-US"/>
              </w:rPr>
              <w:t>%</w:t>
            </w:r>
            <w:r w:rsidR="00EA5EC0" w:rsidRPr="00D950C3">
              <w:rPr>
                <w:rFonts w:ascii="Arial" w:eastAsia="Calibri" w:hAnsi="Arial" w:cs="Arial"/>
                <w:lang w:val="en-US"/>
              </w:rPr>
              <w:t xml:space="preserve"> and 25% </w:t>
            </w:r>
            <w:r w:rsidRPr="00D950C3">
              <w:rPr>
                <w:rFonts w:ascii="Arial" w:eastAsia="Calibri" w:hAnsi="Arial" w:cs="Arial"/>
                <w:lang w:val="en-US"/>
              </w:rPr>
              <w:t>of all housing should be affordable,</w:t>
            </w:r>
            <w:r w:rsidR="00EA5EC0" w:rsidRPr="00D950C3">
              <w:rPr>
                <w:rFonts w:ascii="Arial" w:eastAsia="Calibri" w:hAnsi="Arial" w:cs="Arial"/>
                <w:lang w:val="en-US"/>
              </w:rPr>
              <w:t xml:space="preserve"> between </w:t>
            </w:r>
            <w:r w:rsidR="005440CF" w:rsidRPr="00D950C3">
              <w:rPr>
                <w:rFonts w:ascii="Arial" w:eastAsia="Calibri" w:hAnsi="Arial" w:cs="Arial"/>
                <w:lang w:val="en-US"/>
              </w:rPr>
              <w:t xml:space="preserve">40% and 100% of Affordable housing should be for affordable ownership. </w:t>
            </w:r>
          </w:p>
        </w:tc>
      </w:tr>
      <w:tr w:rsidR="00201C53" w:rsidRPr="009E27E9" w14:paraId="3EF14908" w14:textId="77777777" w:rsidTr="00C639E2">
        <w:tc>
          <w:tcPr>
            <w:tcW w:w="4890" w:type="dxa"/>
          </w:tcPr>
          <w:p w14:paraId="5BEFF333" w14:textId="77777777" w:rsidR="00201C53" w:rsidRDefault="00201C53" w:rsidP="00252C91">
            <w:pPr>
              <w:numPr>
                <w:ilvl w:val="0"/>
                <w:numId w:val="25"/>
              </w:numPr>
              <w:tabs>
                <w:tab w:val="clear" w:pos="284"/>
              </w:tabs>
              <w:spacing w:before="60" w:after="120" w:line="276" w:lineRule="auto"/>
              <w:ind w:left="360"/>
              <w:jc w:val="both"/>
              <w:rPr>
                <w:rFonts w:ascii="Arial" w:eastAsia="Calibri" w:hAnsi="Arial" w:cs="Arial"/>
                <w:lang w:val="en-US"/>
              </w:rPr>
            </w:pPr>
            <w:r w:rsidRPr="009E27E9">
              <w:rPr>
                <w:rFonts w:ascii="Arial" w:eastAsia="Calibri" w:hAnsi="Arial" w:cs="Arial"/>
                <w:b/>
                <w:lang w:val="en-US"/>
              </w:rPr>
              <w:t>Local Plan policy</w:t>
            </w:r>
            <w:r w:rsidRPr="009E27E9">
              <w:rPr>
                <w:rFonts w:ascii="Arial" w:eastAsia="Calibri" w:hAnsi="Arial" w:cs="Arial"/>
                <w:lang w:val="en-US"/>
              </w:rPr>
              <w:t xml:space="preserve">: </w:t>
            </w:r>
          </w:p>
          <w:p w14:paraId="1F51D900" w14:textId="77777777" w:rsidR="00201C53" w:rsidRPr="009E27E9" w:rsidRDefault="00201C53" w:rsidP="00252C91">
            <w:pPr>
              <w:tabs>
                <w:tab w:val="clear" w:pos="284"/>
              </w:tabs>
              <w:spacing w:before="60" w:after="120" w:line="276" w:lineRule="auto"/>
              <w:jc w:val="both"/>
              <w:rPr>
                <w:rFonts w:ascii="Arial" w:eastAsia="Calibri" w:hAnsi="Arial" w:cs="Arial"/>
                <w:lang w:val="en-US"/>
              </w:rPr>
            </w:pPr>
          </w:p>
        </w:tc>
        <w:tc>
          <w:tcPr>
            <w:tcW w:w="4891" w:type="dxa"/>
          </w:tcPr>
          <w:p w14:paraId="21FE96F0" w14:textId="379C36F1" w:rsidR="00201C53" w:rsidRPr="00D950C3" w:rsidRDefault="00201C53" w:rsidP="00252C91">
            <w:pPr>
              <w:tabs>
                <w:tab w:val="clear" w:pos="284"/>
              </w:tabs>
              <w:spacing w:before="60" w:after="120" w:line="276" w:lineRule="auto"/>
              <w:jc w:val="both"/>
              <w:rPr>
                <w:rFonts w:ascii="Arial" w:eastAsia="Calibri" w:hAnsi="Arial" w:cs="Arial"/>
                <w:lang w:val="en-US"/>
              </w:rPr>
            </w:pPr>
            <w:r w:rsidRPr="00D950C3">
              <w:rPr>
                <w:rFonts w:ascii="Arial" w:eastAsia="Calibri" w:hAnsi="Arial" w:cs="Arial"/>
                <w:lang w:val="en-US"/>
              </w:rPr>
              <w:t xml:space="preserve">The adopted Local Plan seeks a tenure split of </w:t>
            </w:r>
            <w:r w:rsidR="005440CF" w:rsidRPr="00D950C3">
              <w:rPr>
                <w:rFonts w:ascii="Arial" w:eastAsia="Calibri" w:hAnsi="Arial" w:cs="Arial"/>
                <w:lang w:val="en-US"/>
              </w:rPr>
              <w:t>90</w:t>
            </w:r>
            <w:r w:rsidRPr="00D950C3">
              <w:rPr>
                <w:rFonts w:ascii="Arial" w:eastAsia="Calibri" w:hAnsi="Arial" w:cs="Arial"/>
                <w:lang w:val="en-US"/>
              </w:rPr>
              <w:t xml:space="preserve">% affordable rent and </w:t>
            </w:r>
            <w:r w:rsidR="005440CF" w:rsidRPr="00D950C3">
              <w:rPr>
                <w:rFonts w:ascii="Arial" w:eastAsia="Calibri" w:hAnsi="Arial" w:cs="Arial"/>
                <w:lang w:val="en-US"/>
              </w:rPr>
              <w:t>10</w:t>
            </w:r>
            <w:r w:rsidRPr="00D950C3">
              <w:rPr>
                <w:rFonts w:ascii="Arial" w:eastAsia="Calibri" w:hAnsi="Arial" w:cs="Arial"/>
                <w:lang w:val="en-US"/>
              </w:rPr>
              <w:t>% affordable home ownership.</w:t>
            </w:r>
          </w:p>
        </w:tc>
      </w:tr>
      <w:tr w:rsidR="00201C53" w:rsidRPr="009E27E9" w14:paraId="375B2518" w14:textId="77777777" w:rsidTr="00C639E2">
        <w:tc>
          <w:tcPr>
            <w:tcW w:w="4890" w:type="dxa"/>
          </w:tcPr>
          <w:p w14:paraId="68BC8937" w14:textId="77777777" w:rsidR="00201C53" w:rsidRDefault="00201C53" w:rsidP="00252C91">
            <w:pPr>
              <w:numPr>
                <w:ilvl w:val="0"/>
                <w:numId w:val="25"/>
              </w:numPr>
              <w:tabs>
                <w:tab w:val="clear" w:pos="284"/>
              </w:tabs>
              <w:spacing w:before="60" w:after="120" w:line="276" w:lineRule="auto"/>
              <w:ind w:left="360"/>
              <w:jc w:val="both"/>
              <w:rPr>
                <w:rFonts w:ascii="Arial" w:eastAsia="Calibri" w:hAnsi="Arial" w:cs="Arial"/>
                <w:lang w:val="en-US"/>
              </w:rPr>
            </w:pPr>
            <w:r w:rsidRPr="009E27E9">
              <w:rPr>
                <w:rFonts w:ascii="Arial" w:eastAsia="Calibri" w:hAnsi="Arial" w:cs="Arial"/>
                <w:b/>
                <w:lang w:val="en-US"/>
              </w:rPr>
              <w:t>Viability</w:t>
            </w:r>
            <w:r w:rsidRPr="009E27E9">
              <w:rPr>
                <w:rFonts w:ascii="Arial" w:eastAsia="Calibri" w:hAnsi="Arial" w:cs="Arial"/>
                <w:lang w:val="en-US"/>
              </w:rPr>
              <w:t xml:space="preserve">: </w:t>
            </w:r>
          </w:p>
          <w:p w14:paraId="23E8EAFC" w14:textId="77777777" w:rsidR="00201C53" w:rsidRPr="009E27E9" w:rsidRDefault="00201C53" w:rsidP="00252C91">
            <w:pPr>
              <w:tabs>
                <w:tab w:val="clear" w:pos="284"/>
              </w:tabs>
              <w:spacing w:before="60" w:after="120" w:line="276" w:lineRule="auto"/>
              <w:jc w:val="both"/>
              <w:rPr>
                <w:rFonts w:ascii="Arial" w:eastAsia="Calibri" w:hAnsi="Arial" w:cs="Arial"/>
                <w:lang w:val="en-US"/>
              </w:rPr>
            </w:pPr>
          </w:p>
        </w:tc>
        <w:tc>
          <w:tcPr>
            <w:tcW w:w="4891" w:type="dxa"/>
          </w:tcPr>
          <w:p w14:paraId="398B7D85" w14:textId="77777777" w:rsidR="00201C53" w:rsidRPr="009E27E9" w:rsidRDefault="00201C53" w:rsidP="00252C91">
            <w:pPr>
              <w:tabs>
                <w:tab w:val="clear" w:pos="284"/>
              </w:tabs>
              <w:spacing w:before="60" w:after="120" w:line="276" w:lineRule="auto"/>
              <w:jc w:val="both"/>
              <w:rPr>
                <w:rFonts w:ascii="Arial" w:eastAsia="Calibri" w:hAnsi="Arial" w:cs="Arial"/>
                <w:lang w:val="en-US"/>
              </w:rPr>
            </w:pPr>
            <w:r w:rsidRPr="009E27E9">
              <w:rPr>
                <w:rFonts w:ascii="Arial" w:eastAsia="Calibri" w:hAnsi="Arial" w:cs="Arial"/>
                <w:lang w:val="en-US"/>
              </w:rPr>
              <w:t xml:space="preserve">HNAs cannot take into consideration the factors which affect viability in the neighbourhood area or at the site-specific level. Viability issues are </w:t>
            </w:r>
            <w:proofErr w:type="spellStart"/>
            <w:r w:rsidRPr="009E27E9">
              <w:rPr>
                <w:rFonts w:ascii="Arial" w:eastAsia="Calibri" w:hAnsi="Arial" w:cs="Arial"/>
                <w:lang w:val="en-US"/>
              </w:rPr>
              <w:t>recognised</w:t>
            </w:r>
            <w:proofErr w:type="spellEnd"/>
            <w:r w:rsidRPr="009E27E9">
              <w:rPr>
                <w:rFonts w:ascii="Arial" w:eastAsia="Calibri" w:hAnsi="Arial" w:cs="Arial"/>
                <w:lang w:val="en-US"/>
              </w:rPr>
              <w:t xml:space="preserve"> in the Local </w:t>
            </w:r>
            <w:proofErr w:type="gramStart"/>
            <w:r w:rsidRPr="009E27E9">
              <w:rPr>
                <w:rFonts w:ascii="Arial" w:eastAsia="Calibri" w:hAnsi="Arial" w:cs="Arial"/>
                <w:lang w:val="en-US"/>
              </w:rPr>
              <w:t>Plan</w:t>
            </w:r>
            <w:proofErr w:type="gramEnd"/>
            <w:r w:rsidRPr="009E27E9">
              <w:rPr>
                <w:rFonts w:ascii="Arial" w:eastAsia="Calibri" w:hAnsi="Arial" w:cs="Arial"/>
                <w:lang w:val="en-US"/>
              </w:rPr>
              <w:t xml:space="preserve"> and it is acknowledged that this may affect the provision of affordable housing, the mix of tenures provided and the discounts that can be sought on First Homes properties.</w:t>
            </w:r>
          </w:p>
        </w:tc>
      </w:tr>
      <w:tr w:rsidR="00201C53" w:rsidRPr="009E27E9" w14:paraId="506715F2" w14:textId="77777777" w:rsidTr="00C639E2">
        <w:tc>
          <w:tcPr>
            <w:tcW w:w="4890" w:type="dxa"/>
          </w:tcPr>
          <w:p w14:paraId="3EAAD206" w14:textId="77777777" w:rsidR="00201C53" w:rsidRDefault="00201C53" w:rsidP="00252C91">
            <w:pPr>
              <w:numPr>
                <w:ilvl w:val="0"/>
                <w:numId w:val="25"/>
              </w:numPr>
              <w:tabs>
                <w:tab w:val="clear" w:pos="284"/>
              </w:tabs>
              <w:spacing w:before="60" w:after="120" w:line="276" w:lineRule="auto"/>
              <w:ind w:left="360"/>
              <w:jc w:val="both"/>
              <w:rPr>
                <w:rFonts w:ascii="Arial" w:eastAsia="Calibri" w:hAnsi="Arial" w:cs="Arial"/>
                <w:lang w:val="en-US"/>
              </w:rPr>
            </w:pPr>
            <w:r w:rsidRPr="009E27E9">
              <w:rPr>
                <w:rFonts w:ascii="Arial" w:eastAsia="Calibri" w:hAnsi="Arial" w:cs="Arial"/>
                <w:b/>
                <w:lang w:val="en-US"/>
              </w:rPr>
              <w:t>Funding</w:t>
            </w:r>
            <w:r w:rsidRPr="009E27E9">
              <w:rPr>
                <w:rFonts w:ascii="Arial" w:eastAsia="Calibri" w:hAnsi="Arial" w:cs="Arial"/>
                <w:lang w:val="en-US"/>
              </w:rPr>
              <w:t>:</w:t>
            </w:r>
          </w:p>
          <w:p w14:paraId="3A4814E2" w14:textId="77777777" w:rsidR="00201C53" w:rsidRPr="009E27E9" w:rsidRDefault="00201C53" w:rsidP="00252C91">
            <w:pPr>
              <w:tabs>
                <w:tab w:val="clear" w:pos="284"/>
              </w:tabs>
              <w:spacing w:before="60" w:after="120" w:line="276" w:lineRule="auto"/>
              <w:jc w:val="both"/>
              <w:rPr>
                <w:rFonts w:ascii="Arial" w:eastAsia="Calibri" w:hAnsi="Arial" w:cs="Arial"/>
                <w:lang w:val="en-US"/>
              </w:rPr>
            </w:pPr>
            <w:r>
              <w:rPr>
                <w:rFonts w:ascii="Arial" w:eastAsia="Calibri" w:hAnsi="Arial" w:cs="Arial"/>
                <w:lang w:val="en-US"/>
              </w:rPr>
              <w:t>T</w:t>
            </w:r>
            <w:r w:rsidRPr="009E27E9">
              <w:rPr>
                <w:rFonts w:ascii="Arial" w:eastAsia="Calibri" w:hAnsi="Arial" w:cs="Arial"/>
                <w:lang w:val="en-US"/>
              </w:rPr>
              <w:t xml:space="preserve">he availability of funding to support the delivery of different forms of Affordable Housing may also influence what it is appropriate to provide at a particular point in time or on any one site. </w:t>
            </w:r>
          </w:p>
        </w:tc>
        <w:tc>
          <w:tcPr>
            <w:tcW w:w="4891" w:type="dxa"/>
          </w:tcPr>
          <w:p w14:paraId="7A5600BC" w14:textId="76D29558" w:rsidR="00201C53" w:rsidRPr="009E27E9" w:rsidRDefault="00201C53" w:rsidP="00252C91">
            <w:pPr>
              <w:tabs>
                <w:tab w:val="clear" w:pos="284"/>
              </w:tabs>
              <w:spacing w:before="60" w:after="120" w:line="276" w:lineRule="auto"/>
              <w:jc w:val="both"/>
              <w:rPr>
                <w:rFonts w:ascii="Arial" w:eastAsia="Calibri" w:hAnsi="Arial" w:cs="Arial"/>
                <w:lang w:val="en-US"/>
              </w:rPr>
            </w:pPr>
            <w:r w:rsidRPr="009E27E9">
              <w:rPr>
                <w:rFonts w:ascii="Arial" w:eastAsia="Calibri" w:hAnsi="Arial" w:cs="Arial"/>
                <w:lang w:val="en-US"/>
              </w:rPr>
              <w:t xml:space="preserve">The </w:t>
            </w:r>
            <w:r w:rsidR="00886038">
              <w:rPr>
                <w:rFonts w:ascii="Arial" w:eastAsia="Calibri" w:hAnsi="Arial" w:cs="Arial"/>
                <w:lang w:val="en-US"/>
              </w:rPr>
              <w:t xml:space="preserve">Consett Neighbourhood Plan Forum </w:t>
            </w:r>
            <w:r w:rsidRPr="009E27E9">
              <w:rPr>
                <w:rFonts w:ascii="Arial" w:eastAsia="Calibri" w:hAnsi="Arial" w:cs="Arial"/>
                <w:lang w:val="en-US"/>
              </w:rPr>
              <w:t>may wish to keep this in mind so that it can take up any opportunities to secure funding if they become available.</w:t>
            </w:r>
          </w:p>
        </w:tc>
      </w:tr>
      <w:tr w:rsidR="00201C53" w:rsidRPr="009E27E9" w14:paraId="52F28989" w14:textId="77777777" w:rsidTr="00C639E2">
        <w:tc>
          <w:tcPr>
            <w:tcW w:w="4890" w:type="dxa"/>
          </w:tcPr>
          <w:p w14:paraId="1DC1C340" w14:textId="2C6007A7" w:rsidR="00201C53" w:rsidRDefault="00201C53" w:rsidP="00252C91">
            <w:pPr>
              <w:numPr>
                <w:ilvl w:val="0"/>
                <w:numId w:val="25"/>
              </w:numPr>
              <w:tabs>
                <w:tab w:val="clear" w:pos="284"/>
              </w:tabs>
              <w:spacing w:before="60" w:after="120" w:line="276" w:lineRule="auto"/>
              <w:ind w:left="360"/>
              <w:jc w:val="both"/>
              <w:rPr>
                <w:rFonts w:ascii="Arial" w:eastAsia="Calibri" w:hAnsi="Arial" w:cs="Arial"/>
                <w:lang w:val="en-US"/>
              </w:rPr>
            </w:pPr>
            <w:r w:rsidRPr="009E27E9">
              <w:rPr>
                <w:rFonts w:ascii="Arial" w:eastAsia="Calibri" w:hAnsi="Arial" w:cs="Arial"/>
                <w:b/>
                <w:lang w:val="en-US"/>
              </w:rPr>
              <w:t xml:space="preserve">Existing tenure mix in </w:t>
            </w:r>
            <w:r w:rsidR="00D143F2">
              <w:rPr>
                <w:rFonts w:ascii="Arial" w:eastAsia="Calibri" w:hAnsi="Arial" w:cs="Arial"/>
                <w:b/>
                <w:lang w:val="en-US"/>
              </w:rPr>
              <w:t>Consett</w:t>
            </w:r>
            <w:r w:rsidRPr="009E27E9">
              <w:rPr>
                <w:rFonts w:ascii="Arial" w:eastAsia="Calibri" w:hAnsi="Arial" w:cs="Arial"/>
                <w:lang w:val="en-US"/>
              </w:rPr>
              <w:t xml:space="preserve">: </w:t>
            </w:r>
          </w:p>
          <w:p w14:paraId="2D6C3C07" w14:textId="77777777" w:rsidR="00201C53" w:rsidRPr="009E27E9" w:rsidRDefault="00201C53" w:rsidP="00252C91">
            <w:pPr>
              <w:tabs>
                <w:tab w:val="clear" w:pos="284"/>
              </w:tabs>
              <w:spacing w:before="60" w:after="120" w:line="276" w:lineRule="auto"/>
              <w:jc w:val="both"/>
              <w:rPr>
                <w:rFonts w:ascii="Arial" w:eastAsia="Calibri" w:hAnsi="Arial" w:cs="Arial"/>
                <w:lang w:val="en-US"/>
              </w:rPr>
            </w:pPr>
            <w:r>
              <w:rPr>
                <w:rFonts w:ascii="Arial" w:eastAsia="Calibri" w:hAnsi="Arial" w:cs="Arial"/>
                <w:lang w:val="en-US"/>
              </w:rPr>
              <w:t>T</w:t>
            </w:r>
            <w:r w:rsidRPr="009E27E9">
              <w:rPr>
                <w:rFonts w:ascii="Arial" w:eastAsia="Calibri" w:hAnsi="Arial" w:cs="Arial"/>
                <w:lang w:val="en-US"/>
              </w:rPr>
              <w:t>he current stock of homes in an area, in terms of balance between ownership, rented and affordable provision may be a consideration in the mix of tenures provided on new development sites.</w:t>
            </w:r>
          </w:p>
        </w:tc>
        <w:tc>
          <w:tcPr>
            <w:tcW w:w="4891" w:type="dxa"/>
          </w:tcPr>
          <w:p w14:paraId="0A772EDD" w14:textId="061FE840" w:rsidR="00C7494E" w:rsidRDefault="00C7494E" w:rsidP="00C7494E">
            <w:pPr>
              <w:tabs>
                <w:tab w:val="clear" w:pos="284"/>
              </w:tabs>
              <w:spacing w:before="60" w:after="120" w:line="276" w:lineRule="auto"/>
              <w:jc w:val="both"/>
              <w:rPr>
                <w:rFonts w:ascii="Arial" w:eastAsia="Calibri" w:hAnsi="Arial" w:cs="Arial"/>
                <w:lang w:val="en-US"/>
              </w:rPr>
            </w:pPr>
            <w:r>
              <w:rPr>
                <w:rFonts w:ascii="Arial" w:eastAsia="Calibri" w:hAnsi="Arial" w:cs="Arial"/>
                <w:lang w:val="en-US"/>
              </w:rPr>
              <w:t xml:space="preserve">There is a high proportion of socially rented housing in the NA, which make up 16% of the overall housing stock, with shared ownership dwellings making up less than 1%. </w:t>
            </w:r>
          </w:p>
          <w:p w14:paraId="2C47A0DA" w14:textId="194D83D4" w:rsidR="00201C53" w:rsidRPr="009E27E9" w:rsidRDefault="00C7494E" w:rsidP="00C7494E">
            <w:pPr>
              <w:tabs>
                <w:tab w:val="clear" w:pos="284"/>
              </w:tabs>
              <w:spacing w:before="60" w:after="120" w:line="276" w:lineRule="auto"/>
              <w:jc w:val="both"/>
              <w:rPr>
                <w:rFonts w:ascii="Arial" w:eastAsia="Calibri" w:hAnsi="Arial" w:cs="Arial"/>
                <w:lang w:val="en-US"/>
              </w:rPr>
            </w:pPr>
            <w:r>
              <w:rPr>
                <w:rFonts w:ascii="Arial" w:eastAsia="Calibri" w:hAnsi="Arial" w:cs="Arial"/>
                <w:lang w:val="en-US"/>
              </w:rPr>
              <w:t>As such there is an opportunity to improve the supply of affordable home ownership dwellings without prejudicing the access to much needed socially rented homes.</w:t>
            </w:r>
          </w:p>
        </w:tc>
      </w:tr>
      <w:tr w:rsidR="00201C53" w:rsidRPr="009E27E9" w14:paraId="75DEE99F" w14:textId="77777777" w:rsidTr="00C639E2">
        <w:tc>
          <w:tcPr>
            <w:tcW w:w="4890" w:type="dxa"/>
          </w:tcPr>
          <w:p w14:paraId="3D932B68" w14:textId="77777777" w:rsidR="00201C53" w:rsidRDefault="00201C53" w:rsidP="00252C91">
            <w:pPr>
              <w:numPr>
                <w:ilvl w:val="0"/>
                <w:numId w:val="25"/>
              </w:numPr>
              <w:tabs>
                <w:tab w:val="clear" w:pos="284"/>
              </w:tabs>
              <w:spacing w:before="60" w:after="120" w:line="276" w:lineRule="auto"/>
              <w:ind w:left="360"/>
              <w:jc w:val="both"/>
              <w:rPr>
                <w:rFonts w:ascii="Arial" w:eastAsia="Calibri" w:hAnsi="Arial" w:cs="Arial"/>
                <w:lang w:val="en-US"/>
              </w:rPr>
            </w:pPr>
            <w:r w:rsidRPr="009E27E9">
              <w:rPr>
                <w:rFonts w:ascii="Arial" w:eastAsia="Calibri" w:hAnsi="Arial" w:cs="Arial"/>
                <w:b/>
                <w:lang w:val="en-US"/>
              </w:rPr>
              <w:t>Views of registered providers</w:t>
            </w:r>
            <w:r w:rsidRPr="009E27E9">
              <w:rPr>
                <w:rFonts w:ascii="Arial" w:eastAsia="Calibri" w:hAnsi="Arial" w:cs="Arial"/>
                <w:lang w:val="en-US"/>
              </w:rPr>
              <w:t xml:space="preserve">: </w:t>
            </w:r>
          </w:p>
          <w:p w14:paraId="51F4F811" w14:textId="77777777" w:rsidR="00201C53" w:rsidRPr="009E27E9" w:rsidRDefault="00201C53" w:rsidP="00252C91">
            <w:pPr>
              <w:tabs>
                <w:tab w:val="clear" w:pos="284"/>
              </w:tabs>
              <w:spacing w:before="60" w:after="120" w:line="276" w:lineRule="auto"/>
              <w:jc w:val="both"/>
              <w:rPr>
                <w:rFonts w:ascii="Arial" w:eastAsia="Calibri" w:hAnsi="Arial" w:cs="Arial"/>
                <w:lang w:val="en-US"/>
              </w:rPr>
            </w:pPr>
          </w:p>
        </w:tc>
        <w:tc>
          <w:tcPr>
            <w:tcW w:w="4891" w:type="dxa"/>
          </w:tcPr>
          <w:p w14:paraId="3DDD825C" w14:textId="77777777" w:rsidR="00201C53" w:rsidRPr="009E27E9" w:rsidRDefault="00201C53" w:rsidP="00252C91">
            <w:pPr>
              <w:tabs>
                <w:tab w:val="clear" w:pos="284"/>
              </w:tabs>
              <w:spacing w:before="60" w:after="120" w:line="276" w:lineRule="auto"/>
              <w:jc w:val="both"/>
              <w:rPr>
                <w:rFonts w:ascii="Arial" w:eastAsia="Calibri" w:hAnsi="Arial" w:cs="Arial"/>
                <w:lang w:val="en-US"/>
              </w:rPr>
            </w:pPr>
            <w:r>
              <w:rPr>
                <w:rFonts w:ascii="Arial" w:eastAsia="Calibri" w:hAnsi="Arial" w:cs="Arial"/>
                <w:lang w:val="en-US"/>
              </w:rPr>
              <w:t>I</w:t>
            </w:r>
            <w:r w:rsidRPr="009E27E9">
              <w:rPr>
                <w:rFonts w:ascii="Arial" w:eastAsia="Calibri" w:hAnsi="Arial" w:cs="Arial"/>
                <w:lang w:val="en-US"/>
              </w:rPr>
              <w:t>t is not within the scope of this HNA to investigate whether it would be viable for housing associations (registered providers) to deliver and manage affordable rented homes in the</w:t>
            </w:r>
            <w:r>
              <w:rPr>
                <w:rFonts w:ascii="Arial" w:eastAsia="Calibri" w:hAnsi="Arial" w:cs="Arial"/>
                <w:lang w:val="en-US"/>
              </w:rPr>
              <w:t xml:space="preserve"> NA</w:t>
            </w:r>
            <w:r w:rsidRPr="009E27E9">
              <w:rPr>
                <w:rFonts w:ascii="Arial" w:eastAsia="Calibri" w:hAnsi="Arial" w:cs="Arial"/>
                <w:lang w:val="en-US"/>
              </w:rPr>
              <w:t>. The funding arrangements available to housing associations will determine rent levels.</w:t>
            </w:r>
          </w:p>
        </w:tc>
      </w:tr>
      <w:tr w:rsidR="00201C53" w:rsidRPr="009E27E9" w14:paraId="62CF773C" w14:textId="77777777" w:rsidTr="00C639E2">
        <w:tc>
          <w:tcPr>
            <w:tcW w:w="4890" w:type="dxa"/>
          </w:tcPr>
          <w:p w14:paraId="03B56FAD" w14:textId="77777777" w:rsidR="00201C53" w:rsidRPr="009E27E9" w:rsidRDefault="00201C53" w:rsidP="00252C91">
            <w:pPr>
              <w:numPr>
                <w:ilvl w:val="0"/>
                <w:numId w:val="25"/>
              </w:numPr>
              <w:tabs>
                <w:tab w:val="clear" w:pos="284"/>
              </w:tabs>
              <w:spacing w:before="60" w:after="120" w:line="276" w:lineRule="auto"/>
              <w:ind w:left="360"/>
              <w:jc w:val="both"/>
              <w:rPr>
                <w:rFonts w:ascii="Arial" w:eastAsia="Calibri" w:hAnsi="Arial" w:cs="Arial"/>
                <w:b/>
                <w:lang w:val="en-US"/>
              </w:rPr>
            </w:pPr>
            <w:r w:rsidRPr="009E27E9">
              <w:rPr>
                <w:rFonts w:ascii="Arial" w:eastAsia="Calibri" w:hAnsi="Arial" w:cs="Arial"/>
                <w:b/>
                <w:lang w:val="en-US"/>
              </w:rPr>
              <w:lastRenderedPageBreak/>
              <w:t>Wider policy objectives</w:t>
            </w:r>
            <w:r w:rsidRPr="009E27E9">
              <w:rPr>
                <w:rFonts w:ascii="Arial" w:eastAsia="Calibri" w:hAnsi="Arial" w:cs="Arial"/>
                <w:lang w:val="en-US"/>
              </w:rPr>
              <w:t xml:space="preserve">: </w:t>
            </w:r>
          </w:p>
        </w:tc>
        <w:tc>
          <w:tcPr>
            <w:tcW w:w="4891" w:type="dxa"/>
          </w:tcPr>
          <w:p w14:paraId="6289FD83" w14:textId="7E8A7780" w:rsidR="00201C53" w:rsidRPr="009E27E9" w:rsidRDefault="00201C53" w:rsidP="00252C91">
            <w:pPr>
              <w:tabs>
                <w:tab w:val="clear" w:pos="284"/>
              </w:tabs>
              <w:spacing w:before="60" w:after="120" w:line="276" w:lineRule="auto"/>
              <w:jc w:val="both"/>
              <w:rPr>
                <w:rFonts w:ascii="Arial" w:eastAsia="Calibri" w:hAnsi="Arial" w:cs="Arial"/>
                <w:lang w:val="en-US"/>
              </w:rPr>
            </w:pPr>
            <w:r>
              <w:rPr>
                <w:rFonts w:ascii="Arial" w:eastAsia="Calibri" w:hAnsi="Arial" w:cs="Arial"/>
                <w:lang w:val="en-US"/>
              </w:rPr>
              <w:t>T</w:t>
            </w:r>
            <w:r w:rsidRPr="009E27E9">
              <w:rPr>
                <w:rFonts w:ascii="Arial" w:eastAsia="Calibri" w:hAnsi="Arial" w:cs="Arial"/>
                <w:lang w:val="en-US"/>
              </w:rPr>
              <w:t xml:space="preserve">he </w:t>
            </w:r>
            <w:r w:rsidR="00886038">
              <w:rPr>
                <w:rFonts w:ascii="Arial" w:eastAsia="Calibri" w:hAnsi="Arial" w:cs="Arial"/>
                <w:lang w:val="en-US"/>
              </w:rPr>
              <w:t>Consett Neighbourhood Plan Forum</w:t>
            </w:r>
            <w:r w:rsidRPr="009E27E9">
              <w:rPr>
                <w:rFonts w:ascii="Arial" w:eastAsia="Calibri" w:hAnsi="Arial" w:cs="Arial"/>
                <w:lang w:val="en-US"/>
              </w:rPr>
              <w:t xml:space="preserve"> may wish to take account of broader policy objectives for </w:t>
            </w:r>
            <w:r w:rsidR="00D143F2">
              <w:rPr>
                <w:rFonts w:ascii="Arial" w:eastAsia="Calibri" w:hAnsi="Arial" w:cs="Arial"/>
                <w:lang w:val="en-US"/>
              </w:rPr>
              <w:t>Consett</w:t>
            </w:r>
            <w:r w:rsidRPr="009E27E9">
              <w:rPr>
                <w:rFonts w:ascii="Arial" w:eastAsia="Calibri" w:hAnsi="Arial" w:cs="Arial"/>
                <w:lang w:val="en-US"/>
              </w:rPr>
              <w:t xml:space="preserve"> and/or the wider </w:t>
            </w:r>
            <w:r w:rsidR="00886038">
              <w:rPr>
                <w:rFonts w:ascii="Arial" w:eastAsia="Calibri" w:hAnsi="Arial" w:cs="Arial"/>
                <w:lang w:val="en-US"/>
              </w:rPr>
              <w:t>county</w:t>
            </w:r>
            <w:r w:rsidRPr="009E27E9">
              <w:rPr>
                <w:rFonts w:ascii="Arial" w:eastAsia="Calibri" w:hAnsi="Arial" w:cs="Arial"/>
                <w:lang w:val="en-US"/>
              </w:rPr>
              <w:t xml:space="preserve">. These could include, but are not restricted to, policies to attract younger households, families or working </w:t>
            </w:r>
            <w:proofErr w:type="gramStart"/>
            <w:r w:rsidRPr="009E27E9">
              <w:rPr>
                <w:rFonts w:ascii="Arial" w:eastAsia="Calibri" w:hAnsi="Arial" w:cs="Arial"/>
                <w:lang w:val="en-US"/>
              </w:rPr>
              <w:t>age</w:t>
            </w:r>
            <w:proofErr w:type="gramEnd"/>
            <w:r w:rsidRPr="009E27E9">
              <w:rPr>
                <w:rFonts w:ascii="Arial" w:eastAsia="Calibri" w:hAnsi="Arial" w:cs="Arial"/>
                <w:lang w:val="en-US"/>
              </w:rPr>
              <w:t xml:space="preserve"> people to the NA. These wider considerations may influence the mix of Affordable Housing provided.</w:t>
            </w:r>
          </w:p>
        </w:tc>
      </w:tr>
    </w:tbl>
    <w:p w14:paraId="5180B81F" w14:textId="77777777" w:rsidR="00201C53" w:rsidRDefault="00201C53" w:rsidP="00252C91">
      <w:pPr>
        <w:spacing w:line="276" w:lineRule="auto"/>
        <w:jc w:val="both"/>
      </w:pPr>
      <w:r>
        <w:br w:type="page"/>
      </w:r>
    </w:p>
    <w:p w14:paraId="52245082" w14:textId="77777777" w:rsidR="00201C53" w:rsidRPr="009E1BB6" w:rsidRDefault="00201C53" w:rsidP="00252C91">
      <w:pPr>
        <w:pStyle w:val="Appendix"/>
        <w:numPr>
          <w:ilvl w:val="0"/>
          <w:numId w:val="22"/>
        </w:numPr>
        <w:jc w:val="both"/>
        <w:rPr>
          <w:color w:val="auto"/>
        </w:rPr>
      </w:pPr>
      <w:bookmarkStart w:id="231" w:name="_Toc170398400"/>
      <w:bookmarkStart w:id="232" w:name="_Toc185339920"/>
      <w:bookmarkStart w:id="233" w:name="_Ref4056142"/>
      <w:bookmarkStart w:id="234" w:name="_Ref4056155"/>
      <w:bookmarkStart w:id="235" w:name="_Toc31722711"/>
      <w:bookmarkStart w:id="236" w:name="_Toc102731927"/>
      <w:r>
        <w:lastRenderedPageBreak/>
        <w:t xml:space="preserve">: </w:t>
      </w:r>
      <w:r w:rsidRPr="009E1BB6">
        <w:rPr>
          <w:color w:val="auto"/>
        </w:rPr>
        <w:t>Specialist housing for older people</w:t>
      </w:r>
      <w:bookmarkEnd w:id="231"/>
      <w:bookmarkEnd w:id="232"/>
    </w:p>
    <w:p w14:paraId="56315D7F" w14:textId="77777777" w:rsidR="00201C53" w:rsidRPr="009E1BB6" w:rsidRDefault="00201C53" w:rsidP="00252C91">
      <w:pPr>
        <w:pStyle w:val="Appendixheading2"/>
        <w:jc w:val="both"/>
        <w:rPr>
          <w:color w:val="auto"/>
        </w:rPr>
      </w:pPr>
      <w:r w:rsidRPr="009E1BB6">
        <w:rPr>
          <w:color w:val="auto"/>
        </w:rPr>
        <w:t>Background data tables</w:t>
      </w:r>
    </w:p>
    <w:p w14:paraId="3EDCBBE9" w14:textId="081C416B" w:rsidR="00201C53" w:rsidRPr="009E1BB6" w:rsidRDefault="00201C53" w:rsidP="00252C91">
      <w:pPr>
        <w:pStyle w:val="Caption"/>
        <w:jc w:val="both"/>
        <w:rPr>
          <w:color w:val="auto"/>
          <w:lang w:val="en-US"/>
        </w:rPr>
      </w:pPr>
      <w:r w:rsidRPr="00CA6ACB">
        <w:rPr>
          <w:color w:val="auto"/>
          <w:lang w:val="en-US"/>
        </w:rPr>
        <w:t xml:space="preserve">Table E-1: Existing specialist housing supply, </w:t>
      </w:r>
      <w:r w:rsidR="00D143F2" w:rsidRPr="00CA6ACB">
        <w:rPr>
          <w:color w:val="auto"/>
          <w:lang w:val="en-US"/>
        </w:rPr>
        <w:t>Consett</w:t>
      </w:r>
    </w:p>
    <w:tbl>
      <w:tblPr>
        <w:tblW w:w="5000" w:type="pct"/>
        <w:tblInd w:w="-5" w:type="dxa"/>
        <w:tblLayout w:type="fixed"/>
        <w:tblLook w:val="04A0" w:firstRow="1" w:lastRow="0" w:firstColumn="1" w:lastColumn="0" w:noHBand="0" w:noVBand="1"/>
      </w:tblPr>
      <w:tblGrid>
        <w:gridCol w:w="623"/>
        <w:gridCol w:w="2071"/>
        <w:gridCol w:w="2717"/>
        <w:gridCol w:w="1544"/>
        <w:gridCol w:w="1391"/>
        <w:gridCol w:w="1478"/>
      </w:tblGrid>
      <w:tr w:rsidR="00201C53" w:rsidRPr="00826421" w14:paraId="65A40288"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3521AD44" w14:textId="77777777" w:rsidR="00201C53" w:rsidRPr="00826421" w:rsidRDefault="00201C53" w:rsidP="00252C91">
            <w:pPr>
              <w:spacing w:line="276" w:lineRule="auto"/>
              <w:jc w:val="both"/>
              <w:rPr>
                <w:rFonts w:cstheme="minorHAnsi"/>
                <w:b/>
                <w:color w:val="FFFFFF" w:themeColor="background1"/>
              </w:rPr>
            </w:pPr>
          </w:p>
        </w:tc>
        <w:tc>
          <w:tcPr>
            <w:tcW w:w="1054"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6800D873" w14:textId="77777777" w:rsidR="00201C53" w:rsidRPr="00826421" w:rsidRDefault="00201C53" w:rsidP="00252C91">
            <w:pPr>
              <w:spacing w:line="276" w:lineRule="auto"/>
              <w:jc w:val="both"/>
              <w:rPr>
                <w:rFonts w:cstheme="minorHAnsi"/>
                <w:b/>
                <w:color w:val="FFFFFF" w:themeColor="background1"/>
              </w:rPr>
            </w:pPr>
            <w:r w:rsidRPr="00826421">
              <w:rPr>
                <w:rFonts w:cstheme="minorHAnsi"/>
                <w:b/>
                <w:color w:val="FFFFFF" w:themeColor="background1"/>
              </w:rPr>
              <w:t>Name</w:t>
            </w:r>
          </w:p>
        </w:tc>
        <w:tc>
          <w:tcPr>
            <w:tcW w:w="1383"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037CB050" w14:textId="77777777" w:rsidR="00201C53" w:rsidRPr="00826421" w:rsidRDefault="00201C53" w:rsidP="00252C91">
            <w:pPr>
              <w:spacing w:line="276" w:lineRule="auto"/>
              <w:jc w:val="both"/>
              <w:rPr>
                <w:rFonts w:cstheme="minorHAnsi"/>
                <w:b/>
                <w:color w:val="FFFFFF" w:themeColor="background1"/>
              </w:rPr>
            </w:pPr>
            <w:r w:rsidRPr="00826421">
              <w:rPr>
                <w:rFonts w:cstheme="minorHAnsi"/>
                <w:b/>
                <w:color w:val="FFFFFF" w:themeColor="background1"/>
              </w:rPr>
              <w:t>Description</w:t>
            </w:r>
          </w:p>
        </w:tc>
        <w:tc>
          <w:tcPr>
            <w:tcW w:w="786"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61849C31" w14:textId="77777777" w:rsidR="00201C53" w:rsidRPr="00826421" w:rsidRDefault="00201C53" w:rsidP="00252C91">
            <w:pPr>
              <w:spacing w:line="276" w:lineRule="auto"/>
              <w:jc w:val="both"/>
              <w:rPr>
                <w:rFonts w:cstheme="minorHAnsi"/>
                <w:b/>
                <w:color w:val="FFFFFF" w:themeColor="background1"/>
              </w:rPr>
            </w:pPr>
            <w:r>
              <w:rPr>
                <w:rFonts w:cstheme="minorHAnsi"/>
                <w:b/>
                <w:color w:val="FFFFFF" w:themeColor="background1"/>
              </w:rPr>
              <w:t>Dwellings</w:t>
            </w:r>
          </w:p>
        </w:tc>
        <w:tc>
          <w:tcPr>
            <w:tcW w:w="708"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3768E74E" w14:textId="77777777" w:rsidR="00201C53" w:rsidRPr="00826421" w:rsidRDefault="00201C53" w:rsidP="00252C91">
            <w:pPr>
              <w:spacing w:line="276" w:lineRule="auto"/>
              <w:jc w:val="both"/>
              <w:rPr>
                <w:rFonts w:cstheme="minorHAnsi"/>
                <w:b/>
                <w:color w:val="FFFFFF" w:themeColor="background1"/>
              </w:rPr>
            </w:pPr>
            <w:r w:rsidRPr="00826421">
              <w:rPr>
                <w:rFonts w:cstheme="minorHAnsi"/>
                <w:b/>
                <w:color w:val="FFFFFF" w:themeColor="background1"/>
              </w:rPr>
              <w:t>Tenure</w:t>
            </w:r>
          </w:p>
        </w:tc>
        <w:tc>
          <w:tcPr>
            <w:tcW w:w="752" w:type="pct"/>
            <w:tcBorders>
              <w:top w:val="single" w:sz="4" w:space="0" w:color="auto"/>
              <w:left w:val="nil"/>
              <w:bottom w:val="single" w:sz="4" w:space="0" w:color="auto"/>
              <w:right w:val="single" w:sz="4" w:space="0" w:color="auto"/>
            </w:tcBorders>
            <w:shd w:val="clear" w:color="auto" w:fill="000000" w:themeFill="text1"/>
            <w:noWrap/>
            <w:vAlign w:val="center"/>
            <w:hideMark/>
          </w:tcPr>
          <w:p w14:paraId="4E7E7D91" w14:textId="77777777" w:rsidR="00201C53" w:rsidRPr="00826421" w:rsidRDefault="00201C53" w:rsidP="00252C91">
            <w:pPr>
              <w:spacing w:line="276" w:lineRule="auto"/>
              <w:jc w:val="both"/>
              <w:rPr>
                <w:rFonts w:cstheme="minorHAnsi"/>
                <w:b/>
                <w:color w:val="FFFFFF" w:themeColor="background1"/>
              </w:rPr>
            </w:pPr>
            <w:r w:rsidRPr="00826421">
              <w:rPr>
                <w:rFonts w:cstheme="minorHAnsi"/>
                <w:b/>
                <w:color w:val="FFFFFF" w:themeColor="background1"/>
              </w:rPr>
              <w:t>Type</w:t>
            </w:r>
          </w:p>
        </w:tc>
      </w:tr>
      <w:tr w:rsidR="00393843" w:rsidRPr="00826421" w14:paraId="3346CADD"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0219F5" w14:textId="77777777" w:rsidR="00393843" w:rsidRPr="00826421" w:rsidRDefault="00393843" w:rsidP="00393843">
            <w:pPr>
              <w:spacing w:line="276" w:lineRule="auto"/>
              <w:jc w:val="both"/>
              <w:rPr>
                <w:rFonts w:cstheme="minorHAnsi"/>
              </w:rPr>
            </w:pPr>
            <w:r w:rsidRPr="00826421">
              <w:rPr>
                <w:rFonts w:cstheme="minorHAnsi"/>
              </w:rPr>
              <w:t>1</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4BAAC430" w14:textId="6A976149" w:rsidR="00393843" w:rsidRPr="00826421" w:rsidRDefault="00393843" w:rsidP="00393843">
            <w:pPr>
              <w:spacing w:line="276" w:lineRule="auto"/>
              <w:jc w:val="both"/>
              <w:rPr>
                <w:rFonts w:cstheme="minorHAnsi"/>
              </w:rPr>
            </w:pPr>
            <w:proofErr w:type="spellStart"/>
            <w:r>
              <w:rPr>
                <w:rFonts w:cstheme="minorHAnsi"/>
              </w:rPr>
              <w:t>Hamsterley</w:t>
            </w:r>
            <w:proofErr w:type="spellEnd"/>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71354CC3" w14:textId="5D196895" w:rsidR="00393843" w:rsidRPr="00826421" w:rsidRDefault="00393843" w:rsidP="00393843">
            <w:pPr>
              <w:spacing w:line="276" w:lineRule="auto"/>
              <w:jc w:val="both"/>
              <w:rPr>
                <w:rFonts w:cstheme="minorHAnsi"/>
              </w:rPr>
            </w:pPr>
            <w:r>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24CEC130" w14:textId="3B7D8BF2" w:rsidR="00393843" w:rsidRPr="00826421" w:rsidRDefault="00393843" w:rsidP="00393843">
            <w:pPr>
              <w:spacing w:line="276" w:lineRule="auto"/>
              <w:jc w:val="both"/>
              <w:rPr>
                <w:rFonts w:cstheme="minorHAnsi"/>
              </w:rPr>
            </w:pPr>
            <w:r>
              <w:rPr>
                <w:rFonts w:cstheme="minorHAnsi"/>
              </w:rPr>
              <w:t>-</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2AD61B17" w14:textId="5E4A2343" w:rsidR="00393843" w:rsidRPr="00826421" w:rsidRDefault="00393843" w:rsidP="00393843">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72DA1439" w14:textId="3A265B6D" w:rsidR="00393843" w:rsidRPr="00826421" w:rsidRDefault="00393843" w:rsidP="00393843">
            <w:pPr>
              <w:spacing w:line="276" w:lineRule="auto"/>
              <w:jc w:val="both"/>
              <w:rPr>
                <w:rFonts w:cstheme="minorHAnsi"/>
              </w:rPr>
            </w:pPr>
            <w:r>
              <w:rPr>
                <w:rFonts w:cstheme="minorHAnsi"/>
              </w:rPr>
              <w:t>2-bed Bungalow</w:t>
            </w:r>
          </w:p>
        </w:tc>
      </w:tr>
      <w:tr w:rsidR="00BE7977" w:rsidRPr="00826421" w14:paraId="53DF53D3"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E15960" w14:textId="77777777" w:rsidR="00BE7977" w:rsidRPr="00826421" w:rsidRDefault="00BE7977" w:rsidP="00BE7977">
            <w:pPr>
              <w:spacing w:line="276" w:lineRule="auto"/>
              <w:jc w:val="both"/>
              <w:rPr>
                <w:rFonts w:cstheme="minorHAnsi"/>
              </w:rPr>
            </w:pPr>
            <w:r w:rsidRPr="00826421">
              <w:rPr>
                <w:rFonts w:cstheme="minorHAnsi"/>
              </w:rPr>
              <w:t>2</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092E9098" w14:textId="41BF25C9" w:rsidR="00BE7977" w:rsidRPr="00826421" w:rsidRDefault="00BE7977" w:rsidP="00BE7977">
            <w:pPr>
              <w:spacing w:line="276" w:lineRule="auto"/>
              <w:jc w:val="both"/>
              <w:rPr>
                <w:rFonts w:cstheme="minorHAnsi"/>
              </w:rPr>
            </w:pPr>
            <w:r>
              <w:rPr>
                <w:rFonts w:cstheme="minorHAnsi"/>
              </w:rPr>
              <w:t>Axford Terrace Bungalows</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5A6DCD17" w14:textId="5AA2D973" w:rsidR="00BE7977" w:rsidRPr="00826421" w:rsidRDefault="00BE7977" w:rsidP="00BE7977">
            <w:pPr>
              <w:spacing w:line="276" w:lineRule="auto"/>
              <w:jc w:val="both"/>
              <w:rPr>
                <w:rFonts w:cstheme="minorHAnsi"/>
              </w:rPr>
            </w:pPr>
            <w:r>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4161DC33" w14:textId="07144646" w:rsidR="00BE7977" w:rsidRPr="00826421" w:rsidRDefault="00BE7977" w:rsidP="00BE7977">
            <w:pPr>
              <w:spacing w:line="276" w:lineRule="auto"/>
              <w:jc w:val="both"/>
              <w:rPr>
                <w:rFonts w:cstheme="minorHAnsi"/>
              </w:rPr>
            </w:pPr>
            <w:r>
              <w:rPr>
                <w:rFonts w:cstheme="minorHAnsi"/>
              </w:rPr>
              <w:t>35</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62495922" w14:textId="25BF2BA9" w:rsidR="00BE7977" w:rsidRPr="00826421" w:rsidRDefault="00BE7977" w:rsidP="00BE7977">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32ED4791" w14:textId="7A550FAD" w:rsidR="00BE7977" w:rsidRPr="00826421" w:rsidRDefault="00BE7977" w:rsidP="00BE7977">
            <w:pPr>
              <w:spacing w:line="276" w:lineRule="auto"/>
              <w:jc w:val="both"/>
              <w:rPr>
                <w:rFonts w:cstheme="minorHAnsi"/>
              </w:rPr>
            </w:pPr>
            <w:r>
              <w:rPr>
                <w:rFonts w:cstheme="minorHAnsi"/>
              </w:rPr>
              <w:t>1/2-bed Flats</w:t>
            </w:r>
          </w:p>
        </w:tc>
      </w:tr>
      <w:tr w:rsidR="00BE7977" w:rsidRPr="00826421" w14:paraId="522F6AB1"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9FB0CD" w14:textId="77777777" w:rsidR="00BE7977" w:rsidRPr="00826421" w:rsidRDefault="00BE7977" w:rsidP="00BE7977">
            <w:pPr>
              <w:spacing w:line="276" w:lineRule="auto"/>
              <w:jc w:val="both"/>
              <w:rPr>
                <w:rFonts w:cstheme="minorHAnsi"/>
              </w:rPr>
            </w:pPr>
            <w:r w:rsidRPr="00826421">
              <w:rPr>
                <w:rFonts w:cstheme="minorHAnsi"/>
              </w:rPr>
              <w:t>3</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3E4E7892" w14:textId="6933759D" w:rsidR="00BE7977" w:rsidRPr="00D638FB" w:rsidRDefault="00BE7977" w:rsidP="00BE7977">
            <w:pPr>
              <w:spacing w:line="276" w:lineRule="auto"/>
              <w:jc w:val="both"/>
              <w:rPr>
                <w:rFonts w:cstheme="minorHAnsi"/>
              </w:rPr>
            </w:pPr>
            <w:proofErr w:type="spellStart"/>
            <w:r w:rsidRPr="00EC0470">
              <w:rPr>
                <w:rFonts w:cstheme="minorHAnsi"/>
              </w:rPr>
              <w:t>Vindomora</w:t>
            </w:r>
            <w:proofErr w:type="spellEnd"/>
            <w:r w:rsidRPr="00EC0470">
              <w:rPr>
                <w:rFonts w:cstheme="minorHAnsi"/>
              </w:rPr>
              <w:t xml:space="preserve"> Road Bungalows</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6374598B" w14:textId="7CC5DAC3" w:rsidR="00BE7977" w:rsidRPr="00D638FB" w:rsidRDefault="00BE7977" w:rsidP="00BE7977">
            <w:pPr>
              <w:spacing w:line="276" w:lineRule="auto"/>
              <w:jc w:val="both"/>
              <w:rPr>
                <w:rFonts w:cstheme="minorHAnsi"/>
              </w:rPr>
            </w:pPr>
            <w:r w:rsidRPr="00D638FB">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019C27E7" w14:textId="6DE6AF4B" w:rsidR="00BE7977" w:rsidRPr="00826421" w:rsidRDefault="00BE7977" w:rsidP="00BE7977">
            <w:pPr>
              <w:spacing w:line="276" w:lineRule="auto"/>
              <w:jc w:val="both"/>
              <w:rPr>
                <w:rFonts w:cstheme="minorHAnsi"/>
              </w:rPr>
            </w:pPr>
            <w:r>
              <w:rPr>
                <w:rFonts w:cstheme="minorHAnsi"/>
              </w:rPr>
              <w:t>12</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5EB38CCD" w14:textId="0305F865" w:rsidR="00BE7977" w:rsidRPr="00826421" w:rsidRDefault="00BE7977" w:rsidP="00BE7977">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292D840B" w14:textId="66DB2C5C" w:rsidR="00BE7977" w:rsidRPr="00826421" w:rsidRDefault="00BE7977" w:rsidP="00BE7977">
            <w:pPr>
              <w:spacing w:line="276" w:lineRule="auto"/>
              <w:jc w:val="both"/>
              <w:rPr>
                <w:rFonts w:cstheme="minorHAnsi"/>
              </w:rPr>
            </w:pPr>
            <w:r>
              <w:rPr>
                <w:rFonts w:cstheme="minorHAnsi"/>
              </w:rPr>
              <w:t>1/2-bed Flats</w:t>
            </w:r>
          </w:p>
        </w:tc>
      </w:tr>
      <w:tr w:rsidR="004E7017" w:rsidRPr="00826421" w14:paraId="0F9DE02B"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1CFA32" w14:textId="77777777" w:rsidR="004E7017" w:rsidRPr="00826421" w:rsidRDefault="004E7017" w:rsidP="004E7017">
            <w:pPr>
              <w:spacing w:line="276" w:lineRule="auto"/>
              <w:jc w:val="both"/>
              <w:rPr>
                <w:rFonts w:cstheme="minorHAnsi"/>
              </w:rPr>
            </w:pPr>
            <w:r w:rsidRPr="00826421">
              <w:rPr>
                <w:rFonts w:cstheme="minorHAnsi"/>
              </w:rPr>
              <w:t>4</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72B7073C" w14:textId="6D5F1299" w:rsidR="004E7017" w:rsidRPr="00D638FB" w:rsidRDefault="004E7017" w:rsidP="004E7017">
            <w:pPr>
              <w:spacing w:line="276" w:lineRule="auto"/>
              <w:jc w:val="both"/>
              <w:rPr>
                <w:rFonts w:cstheme="minorHAnsi"/>
              </w:rPr>
            </w:pPr>
            <w:proofErr w:type="spellStart"/>
            <w:r w:rsidRPr="00866C48">
              <w:rPr>
                <w:rFonts w:cstheme="minorHAnsi"/>
              </w:rPr>
              <w:t>Ebchester</w:t>
            </w:r>
            <w:proofErr w:type="spellEnd"/>
            <w:r w:rsidRPr="00866C48">
              <w:rPr>
                <w:rFonts w:cstheme="minorHAnsi"/>
              </w:rPr>
              <w:t xml:space="preserve"> Dene</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729D760B" w14:textId="238F3A73" w:rsidR="004E7017" w:rsidRPr="00D638FB" w:rsidRDefault="004E7017" w:rsidP="004E7017">
            <w:pPr>
              <w:spacing w:line="276" w:lineRule="auto"/>
              <w:jc w:val="both"/>
              <w:rPr>
                <w:rFonts w:cstheme="minorHAnsi"/>
              </w:rPr>
            </w:pPr>
            <w:r w:rsidRPr="00D638FB">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1DC665C8" w14:textId="6841F2CE" w:rsidR="004E7017" w:rsidRPr="00826421" w:rsidRDefault="004E7017" w:rsidP="004E7017">
            <w:pPr>
              <w:spacing w:line="276" w:lineRule="auto"/>
              <w:jc w:val="both"/>
              <w:rPr>
                <w:rFonts w:cstheme="minorHAnsi"/>
              </w:rPr>
            </w:pPr>
            <w:r>
              <w:rPr>
                <w:rFonts w:cstheme="minorHAnsi"/>
              </w:rPr>
              <w:t>20</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5F3B5EC7" w14:textId="672BF11F" w:rsidR="004E7017" w:rsidRPr="00826421" w:rsidRDefault="004E7017" w:rsidP="004E7017">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03AFF02F" w14:textId="4F1FA02A" w:rsidR="004E7017" w:rsidRPr="00826421" w:rsidRDefault="004E7017" w:rsidP="004E7017">
            <w:pPr>
              <w:spacing w:line="276" w:lineRule="auto"/>
              <w:jc w:val="both"/>
              <w:rPr>
                <w:rFonts w:cstheme="minorHAnsi"/>
              </w:rPr>
            </w:pPr>
            <w:r>
              <w:rPr>
                <w:rFonts w:cstheme="minorHAnsi"/>
              </w:rPr>
              <w:t>2-bed Bungalow</w:t>
            </w:r>
          </w:p>
        </w:tc>
      </w:tr>
      <w:tr w:rsidR="00C27DDC" w:rsidRPr="00826421" w14:paraId="543BA38B"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93CD7" w14:textId="6B26B41D" w:rsidR="00C27DDC" w:rsidRPr="00826421" w:rsidRDefault="00C27DDC" w:rsidP="00C27DDC">
            <w:pPr>
              <w:spacing w:line="276" w:lineRule="auto"/>
              <w:jc w:val="both"/>
              <w:rPr>
                <w:rFonts w:cstheme="minorHAnsi"/>
              </w:rPr>
            </w:pPr>
            <w:r>
              <w:rPr>
                <w:rFonts w:cstheme="minorHAnsi"/>
              </w:rPr>
              <w:t>5</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412FD255" w14:textId="5052708D" w:rsidR="00C27DDC" w:rsidRPr="00D638FB" w:rsidRDefault="00C27DDC" w:rsidP="00C27DDC">
            <w:pPr>
              <w:spacing w:line="276" w:lineRule="auto"/>
              <w:jc w:val="both"/>
              <w:rPr>
                <w:rFonts w:cstheme="minorHAnsi"/>
              </w:rPr>
            </w:pPr>
            <w:r w:rsidRPr="00866C48">
              <w:rPr>
                <w:rFonts w:cstheme="minorHAnsi"/>
              </w:rPr>
              <w:t>The Dene</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62A4D2A1" w14:textId="0397B8EE" w:rsidR="00C27DDC" w:rsidRPr="00D638FB" w:rsidRDefault="00C27DDC" w:rsidP="00C27DDC">
            <w:pPr>
              <w:spacing w:line="276" w:lineRule="auto"/>
              <w:jc w:val="both"/>
              <w:rPr>
                <w:rFonts w:cstheme="minorHAnsi"/>
              </w:rPr>
            </w:pPr>
            <w:r w:rsidRPr="00D638FB">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68315CD4" w14:textId="2A1D4169" w:rsidR="00C27DDC" w:rsidRPr="00826421" w:rsidRDefault="00C27DDC" w:rsidP="00C27DDC">
            <w:pPr>
              <w:spacing w:line="276" w:lineRule="auto"/>
              <w:jc w:val="both"/>
              <w:rPr>
                <w:rFonts w:cstheme="minorHAnsi"/>
              </w:rPr>
            </w:pPr>
            <w:r>
              <w:rPr>
                <w:rFonts w:cstheme="minorHAnsi"/>
              </w:rPr>
              <w:t>-</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48C311E6" w14:textId="3F632499" w:rsidR="00C27DDC" w:rsidRPr="00826421" w:rsidRDefault="00C27DDC" w:rsidP="00C27DDC">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7E927912" w14:textId="597FD80C" w:rsidR="00C27DDC" w:rsidRPr="00A12ECF" w:rsidRDefault="00C27DDC" w:rsidP="00C27DDC">
            <w:pPr>
              <w:spacing w:line="276" w:lineRule="auto"/>
              <w:jc w:val="both"/>
              <w:rPr>
                <w:rFonts w:cstheme="minorHAnsi"/>
              </w:rPr>
            </w:pPr>
            <w:r>
              <w:rPr>
                <w:rFonts w:cstheme="minorHAnsi"/>
              </w:rPr>
              <w:t>2-bed Bungalow</w:t>
            </w:r>
          </w:p>
        </w:tc>
      </w:tr>
      <w:tr w:rsidR="000973E7" w:rsidRPr="00826421" w14:paraId="4450481B"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6B0EB" w14:textId="3BFEEE99" w:rsidR="000973E7" w:rsidRPr="00826421" w:rsidRDefault="000973E7" w:rsidP="000973E7">
            <w:pPr>
              <w:spacing w:line="276" w:lineRule="auto"/>
              <w:jc w:val="both"/>
              <w:rPr>
                <w:rFonts w:cstheme="minorHAnsi"/>
              </w:rPr>
            </w:pPr>
            <w:r>
              <w:rPr>
                <w:rFonts w:cstheme="minorHAnsi"/>
              </w:rPr>
              <w:t>6</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555DF033" w14:textId="688BC97D" w:rsidR="000973E7" w:rsidRPr="00D638FB" w:rsidRDefault="000973E7" w:rsidP="000973E7">
            <w:pPr>
              <w:spacing w:line="276" w:lineRule="auto"/>
              <w:jc w:val="both"/>
              <w:rPr>
                <w:rFonts w:cstheme="minorHAnsi"/>
              </w:rPr>
            </w:pPr>
            <w:r w:rsidRPr="00356CC8">
              <w:rPr>
                <w:rFonts w:cstheme="minorHAnsi"/>
              </w:rPr>
              <w:t>Magdalene Court</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0FD4C3A6" w14:textId="0E8514B5" w:rsidR="000973E7" w:rsidRPr="00D638FB" w:rsidRDefault="000973E7" w:rsidP="000973E7">
            <w:pPr>
              <w:spacing w:line="276" w:lineRule="auto"/>
              <w:jc w:val="both"/>
              <w:rPr>
                <w:rFonts w:cstheme="minorHAnsi"/>
              </w:rPr>
            </w:pPr>
            <w:r w:rsidRPr="00D638FB">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70627917" w14:textId="4F25358C" w:rsidR="000973E7" w:rsidRPr="00826421" w:rsidRDefault="000973E7" w:rsidP="000973E7">
            <w:pPr>
              <w:spacing w:line="276" w:lineRule="auto"/>
              <w:jc w:val="both"/>
              <w:rPr>
                <w:rFonts w:cstheme="minorHAnsi"/>
              </w:rPr>
            </w:pPr>
            <w:r>
              <w:rPr>
                <w:rFonts w:cstheme="minorHAnsi"/>
              </w:rPr>
              <w:t>19</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0CCC53A1" w14:textId="1E295C19" w:rsidR="000973E7" w:rsidRPr="00826421" w:rsidRDefault="000973E7" w:rsidP="000973E7">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15B10D19" w14:textId="61840D74" w:rsidR="000973E7" w:rsidRPr="00826421" w:rsidRDefault="000973E7" w:rsidP="000973E7">
            <w:pPr>
              <w:spacing w:line="276" w:lineRule="auto"/>
              <w:jc w:val="both"/>
              <w:rPr>
                <w:rFonts w:cstheme="minorHAnsi"/>
              </w:rPr>
            </w:pPr>
            <w:r>
              <w:rPr>
                <w:rFonts w:cstheme="minorHAnsi"/>
              </w:rPr>
              <w:t>1-bed Flats</w:t>
            </w:r>
          </w:p>
        </w:tc>
      </w:tr>
      <w:tr w:rsidR="006B1D5F" w:rsidRPr="00826421" w14:paraId="25B235B7"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CDDB63" w14:textId="3E1439C0" w:rsidR="006B1D5F" w:rsidRPr="00826421" w:rsidRDefault="006B1D5F" w:rsidP="006B1D5F">
            <w:pPr>
              <w:spacing w:line="276" w:lineRule="auto"/>
              <w:jc w:val="both"/>
              <w:rPr>
                <w:rFonts w:cstheme="minorHAnsi"/>
              </w:rPr>
            </w:pPr>
            <w:r>
              <w:rPr>
                <w:rFonts w:cstheme="minorHAnsi"/>
              </w:rPr>
              <w:t>7</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0C664E9E" w14:textId="7FC06186" w:rsidR="006B1D5F" w:rsidRPr="00D638FB" w:rsidRDefault="006B1D5F" w:rsidP="006B1D5F">
            <w:pPr>
              <w:spacing w:line="276" w:lineRule="auto"/>
              <w:jc w:val="both"/>
              <w:rPr>
                <w:rFonts w:cstheme="minorHAnsi"/>
              </w:rPr>
            </w:pPr>
            <w:r w:rsidRPr="00356CC8">
              <w:rPr>
                <w:rFonts w:cstheme="minorHAnsi"/>
              </w:rPr>
              <w:t>Shotley Bridge</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4BE2BB5F" w14:textId="53F31E18" w:rsidR="006B1D5F" w:rsidRPr="00D638FB" w:rsidRDefault="006B1D5F" w:rsidP="006B1D5F">
            <w:pPr>
              <w:spacing w:line="276" w:lineRule="auto"/>
              <w:jc w:val="both"/>
              <w:rPr>
                <w:rFonts w:cstheme="minorHAnsi"/>
              </w:rPr>
            </w:pPr>
            <w:r w:rsidRPr="00D638FB">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543AF949" w14:textId="68903371" w:rsidR="006B1D5F" w:rsidRPr="00826421" w:rsidRDefault="006B1D5F" w:rsidP="006B1D5F">
            <w:pPr>
              <w:spacing w:line="276" w:lineRule="auto"/>
              <w:jc w:val="both"/>
              <w:rPr>
                <w:rFonts w:cstheme="minorHAnsi"/>
              </w:rPr>
            </w:pPr>
            <w:r>
              <w:rPr>
                <w:rFonts w:cstheme="minorHAnsi"/>
              </w:rPr>
              <w:t>-</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757A5430" w14:textId="7F126C6F" w:rsidR="006B1D5F" w:rsidRPr="00826421" w:rsidRDefault="006B1D5F" w:rsidP="006B1D5F">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70FC9A23" w14:textId="00D6DE3B" w:rsidR="006B1D5F" w:rsidRPr="00826421" w:rsidRDefault="006B1D5F" w:rsidP="006B1D5F">
            <w:pPr>
              <w:spacing w:line="276" w:lineRule="auto"/>
              <w:jc w:val="both"/>
              <w:rPr>
                <w:rFonts w:cstheme="minorHAnsi"/>
              </w:rPr>
            </w:pPr>
            <w:r>
              <w:rPr>
                <w:rFonts w:cstheme="minorHAnsi"/>
              </w:rPr>
              <w:t>2-bed Bungalow</w:t>
            </w:r>
          </w:p>
        </w:tc>
      </w:tr>
      <w:tr w:rsidR="000973E7" w:rsidRPr="00826421" w14:paraId="301D7165"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915902" w14:textId="28F8503F" w:rsidR="000973E7" w:rsidRPr="00826421" w:rsidRDefault="000973E7" w:rsidP="000973E7">
            <w:pPr>
              <w:spacing w:line="276" w:lineRule="auto"/>
              <w:jc w:val="both"/>
              <w:rPr>
                <w:rFonts w:cstheme="minorHAnsi"/>
              </w:rPr>
            </w:pPr>
            <w:r>
              <w:rPr>
                <w:rFonts w:cstheme="minorHAnsi"/>
              </w:rPr>
              <w:t>8</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49106037" w14:textId="1E179E61" w:rsidR="000973E7" w:rsidRPr="00D638FB" w:rsidRDefault="000973E7" w:rsidP="000973E7">
            <w:pPr>
              <w:spacing w:line="276" w:lineRule="auto"/>
              <w:jc w:val="both"/>
              <w:rPr>
                <w:rFonts w:cstheme="minorHAnsi"/>
              </w:rPr>
            </w:pPr>
            <w:r w:rsidRPr="00804A8A">
              <w:rPr>
                <w:rFonts w:cstheme="minorHAnsi"/>
              </w:rPr>
              <w:t xml:space="preserve">Benfield </w:t>
            </w:r>
            <w:r>
              <w:rPr>
                <w:rFonts w:cstheme="minorHAnsi"/>
              </w:rPr>
              <w:t>S</w:t>
            </w:r>
            <w:r w:rsidRPr="00804A8A">
              <w:rPr>
                <w:rFonts w:cstheme="minorHAnsi"/>
              </w:rPr>
              <w:t>ide</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14480A8E" w14:textId="20427F73" w:rsidR="000973E7" w:rsidRPr="00D638FB" w:rsidRDefault="000973E7" w:rsidP="000973E7">
            <w:pPr>
              <w:spacing w:line="276" w:lineRule="auto"/>
              <w:jc w:val="both"/>
              <w:rPr>
                <w:rFonts w:cstheme="minorHAnsi"/>
              </w:rPr>
            </w:pPr>
            <w:r w:rsidRPr="00D638FB">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2AC9A4A2" w14:textId="39FAAE19" w:rsidR="000973E7" w:rsidRPr="00826421" w:rsidRDefault="000973E7" w:rsidP="000973E7">
            <w:pPr>
              <w:spacing w:line="276" w:lineRule="auto"/>
              <w:jc w:val="both"/>
              <w:rPr>
                <w:rFonts w:cstheme="minorHAnsi"/>
              </w:rPr>
            </w:pPr>
            <w:r>
              <w:rPr>
                <w:rFonts w:cstheme="minorHAnsi"/>
              </w:rPr>
              <w:t>-</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14BD936D" w14:textId="00FB95BC" w:rsidR="000973E7" w:rsidRPr="00826421" w:rsidRDefault="000973E7" w:rsidP="000973E7">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47CD7565" w14:textId="3A853245" w:rsidR="000973E7" w:rsidRPr="00826421" w:rsidRDefault="000973E7" w:rsidP="000973E7">
            <w:pPr>
              <w:spacing w:line="276" w:lineRule="auto"/>
              <w:jc w:val="both"/>
              <w:rPr>
                <w:rFonts w:cstheme="minorHAnsi"/>
              </w:rPr>
            </w:pPr>
            <w:r>
              <w:rPr>
                <w:rFonts w:cstheme="minorHAnsi"/>
              </w:rPr>
              <w:t>2-bed Bungalow</w:t>
            </w:r>
          </w:p>
        </w:tc>
      </w:tr>
      <w:tr w:rsidR="000973E7" w:rsidRPr="00826421" w14:paraId="1D258C7A"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8C9394" w14:textId="592B3E07" w:rsidR="000973E7" w:rsidRPr="00826421" w:rsidRDefault="000973E7" w:rsidP="000973E7">
            <w:pPr>
              <w:spacing w:line="276" w:lineRule="auto"/>
              <w:jc w:val="both"/>
              <w:rPr>
                <w:rFonts w:cstheme="minorHAnsi"/>
              </w:rPr>
            </w:pPr>
            <w:r>
              <w:rPr>
                <w:rFonts w:cstheme="minorHAnsi"/>
              </w:rPr>
              <w:t>9</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64064E62" w14:textId="5EDEE971" w:rsidR="000973E7" w:rsidRPr="00D638FB" w:rsidRDefault="000973E7" w:rsidP="000973E7">
            <w:pPr>
              <w:spacing w:line="276" w:lineRule="auto"/>
              <w:jc w:val="both"/>
              <w:rPr>
                <w:rFonts w:cstheme="minorHAnsi"/>
              </w:rPr>
            </w:pPr>
            <w:r w:rsidRPr="00804A8A">
              <w:rPr>
                <w:rFonts w:cstheme="minorHAnsi"/>
              </w:rPr>
              <w:t>Church Estate</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60F9F997" w14:textId="45C8ED9F" w:rsidR="000973E7" w:rsidRPr="00D638FB" w:rsidRDefault="000973E7" w:rsidP="000973E7">
            <w:pPr>
              <w:spacing w:line="276" w:lineRule="auto"/>
              <w:jc w:val="both"/>
              <w:rPr>
                <w:rFonts w:cstheme="minorHAnsi"/>
              </w:rPr>
            </w:pPr>
            <w:r w:rsidRPr="00D638FB">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70E8F696" w14:textId="6B61F248" w:rsidR="000973E7" w:rsidRPr="00826421" w:rsidRDefault="000973E7" w:rsidP="000973E7">
            <w:pPr>
              <w:spacing w:line="276" w:lineRule="auto"/>
              <w:jc w:val="both"/>
              <w:rPr>
                <w:rFonts w:cstheme="minorHAnsi"/>
              </w:rPr>
            </w:pPr>
            <w:r>
              <w:rPr>
                <w:rFonts w:cstheme="minorHAnsi"/>
              </w:rPr>
              <w:t>-</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3448C570" w14:textId="27989D35" w:rsidR="000973E7" w:rsidRPr="00826421" w:rsidRDefault="000973E7" w:rsidP="000973E7">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66CB37B8" w14:textId="1AF1B660" w:rsidR="000973E7" w:rsidRPr="00826421" w:rsidRDefault="000973E7" w:rsidP="000973E7">
            <w:pPr>
              <w:spacing w:line="276" w:lineRule="auto"/>
              <w:jc w:val="both"/>
              <w:rPr>
                <w:rFonts w:cstheme="minorHAnsi"/>
              </w:rPr>
            </w:pPr>
            <w:r>
              <w:rPr>
                <w:rFonts w:cstheme="minorHAnsi"/>
              </w:rPr>
              <w:t>1/2-bed Bungalow</w:t>
            </w:r>
          </w:p>
        </w:tc>
      </w:tr>
      <w:tr w:rsidR="000973E7" w:rsidRPr="00826421" w14:paraId="57D21EF7"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E2EEE" w14:textId="3247AECA" w:rsidR="000973E7" w:rsidRPr="00826421" w:rsidRDefault="000973E7" w:rsidP="000973E7">
            <w:pPr>
              <w:spacing w:line="276" w:lineRule="auto"/>
              <w:jc w:val="both"/>
              <w:rPr>
                <w:rFonts w:cstheme="minorHAnsi"/>
              </w:rPr>
            </w:pPr>
            <w:r>
              <w:rPr>
                <w:rFonts w:cstheme="minorHAnsi"/>
              </w:rPr>
              <w:t>10</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66CB5A98" w14:textId="46DC8406" w:rsidR="000973E7" w:rsidRPr="00D638FB" w:rsidRDefault="000973E7" w:rsidP="000973E7">
            <w:pPr>
              <w:spacing w:line="276" w:lineRule="auto"/>
              <w:jc w:val="both"/>
              <w:rPr>
                <w:rFonts w:cstheme="minorHAnsi"/>
              </w:rPr>
            </w:pPr>
            <w:proofErr w:type="spellStart"/>
            <w:r w:rsidRPr="00B71E6F">
              <w:rPr>
                <w:rFonts w:cstheme="minorHAnsi"/>
              </w:rPr>
              <w:t>Blackfyne</w:t>
            </w:r>
            <w:proofErr w:type="spellEnd"/>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225F55E8" w14:textId="39ABB7BE" w:rsidR="000973E7" w:rsidRPr="00D638FB" w:rsidRDefault="000973E7" w:rsidP="000973E7">
            <w:pPr>
              <w:spacing w:line="276" w:lineRule="auto"/>
              <w:jc w:val="both"/>
              <w:rPr>
                <w:rFonts w:cstheme="minorHAnsi"/>
              </w:rPr>
            </w:pPr>
            <w:r w:rsidRPr="00D638FB">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3E6F7335" w14:textId="05C5FE35" w:rsidR="000973E7" w:rsidRPr="00826421" w:rsidRDefault="000973E7" w:rsidP="000973E7">
            <w:pPr>
              <w:spacing w:line="276" w:lineRule="auto"/>
              <w:jc w:val="both"/>
              <w:rPr>
                <w:rFonts w:cstheme="minorHAnsi"/>
              </w:rPr>
            </w:pPr>
            <w:r>
              <w:rPr>
                <w:rFonts w:cstheme="minorHAnsi"/>
              </w:rPr>
              <w:t>-</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54A38E7F" w14:textId="0058BCB9" w:rsidR="000973E7" w:rsidRPr="00826421" w:rsidRDefault="000973E7" w:rsidP="000973E7">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219E7A9A" w14:textId="0B4CD5B6" w:rsidR="000973E7" w:rsidRPr="00826421" w:rsidRDefault="000973E7" w:rsidP="000973E7">
            <w:pPr>
              <w:spacing w:line="276" w:lineRule="auto"/>
              <w:jc w:val="both"/>
              <w:rPr>
                <w:rFonts w:cstheme="minorHAnsi"/>
              </w:rPr>
            </w:pPr>
            <w:r>
              <w:rPr>
                <w:rFonts w:cstheme="minorHAnsi"/>
              </w:rPr>
              <w:t>2-bed Bungalow</w:t>
            </w:r>
          </w:p>
        </w:tc>
      </w:tr>
      <w:tr w:rsidR="007C497D" w:rsidRPr="00826421" w14:paraId="3FF35584"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B6C133" w14:textId="17DDBFF8" w:rsidR="007C497D" w:rsidRPr="00826421" w:rsidRDefault="007C497D" w:rsidP="007C497D">
            <w:pPr>
              <w:spacing w:line="276" w:lineRule="auto"/>
              <w:jc w:val="both"/>
              <w:rPr>
                <w:rFonts w:cstheme="minorHAnsi"/>
              </w:rPr>
            </w:pPr>
            <w:r>
              <w:rPr>
                <w:rFonts w:cstheme="minorHAnsi"/>
              </w:rPr>
              <w:t>11</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6E1E83E9" w14:textId="413DE3B3" w:rsidR="007C497D" w:rsidRPr="00D638FB" w:rsidRDefault="007C497D" w:rsidP="007C497D">
            <w:pPr>
              <w:spacing w:line="276" w:lineRule="auto"/>
              <w:jc w:val="both"/>
              <w:rPr>
                <w:rFonts w:cstheme="minorHAnsi"/>
              </w:rPr>
            </w:pPr>
            <w:proofErr w:type="spellStart"/>
            <w:r w:rsidRPr="00B71E6F">
              <w:rPr>
                <w:rFonts w:cstheme="minorHAnsi"/>
              </w:rPr>
              <w:t>Shotleyfield</w:t>
            </w:r>
            <w:proofErr w:type="spellEnd"/>
            <w:r w:rsidRPr="00B71E6F">
              <w:rPr>
                <w:rFonts w:cstheme="minorHAnsi"/>
              </w:rPr>
              <w:t xml:space="preserve"> View Bungalows</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23B77F4D" w14:textId="0BB4BE0E" w:rsidR="007C497D" w:rsidRPr="00D638FB" w:rsidRDefault="007C497D" w:rsidP="007C497D">
            <w:pPr>
              <w:spacing w:line="276" w:lineRule="auto"/>
              <w:jc w:val="both"/>
              <w:rPr>
                <w:rFonts w:cstheme="minorHAnsi"/>
              </w:rPr>
            </w:pPr>
            <w:r w:rsidRPr="00D638FB">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519B77FA" w14:textId="6759849C" w:rsidR="007C497D" w:rsidRPr="00826421" w:rsidRDefault="007C497D" w:rsidP="007C497D">
            <w:pPr>
              <w:spacing w:line="276" w:lineRule="auto"/>
              <w:jc w:val="both"/>
              <w:rPr>
                <w:rFonts w:cstheme="minorHAnsi"/>
              </w:rPr>
            </w:pPr>
            <w:r>
              <w:rPr>
                <w:rFonts w:cstheme="minorHAnsi"/>
              </w:rPr>
              <w:t>24</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545684D7" w14:textId="64490812" w:rsidR="007C497D" w:rsidRPr="00826421" w:rsidRDefault="007C497D" w:rsidP="007C497D">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16330FD7" w14:textId="60C79665" w:rsidR="007C497D" w:rsidRPr="00826421" w:rsidRDefault="007C497D" w:rsidP="007C497D">
            <w:pPr>
              <w:spacing w:line="276" w:lineRule="auto"/>
              <w:jc w:val="both"/>
              <w:rPr>
                <w:rFonts w:cstheme="minorHAnsi"/>
              </w:rPr>
            </w:pPr>
            <w:r>
              <w:rPr>
                <w:rFonts w:cstheme="minorHAnsi"/>
              </w:rPr>
              <w:t>2-bed Bungalow</w:t>
            </w:r>
          </w:p>
        </w:tc>
      </w:tr>
      <w:tr w:rsidR="000973E7" w:rsidRPr="00826421" w14:paraId="14E4ACCE"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12F08D" w14:textId="57F540A9" w:rsidR="000973E7" w:rsidRPr="00826421" w:rsidRDefault="000973E7" w:rsidP="000973E7">
            <w:pPr>
              <w:spacing w:line="276" w:lineRule="auto"/>
              <w:jc w:val="both"/>
              <w:rPr>
                <w:rFonts w:cstheme="minorHAnsi"/>
              </w:rPr>
            </w:pPr>
            <w:r>
              <w:rPr>
                <w:rFonts w:cstheme="minorHAnsi"/>
              </w:rPr>
              <w:t>12</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38A33614" w14:textId="23F27497" w:rsidR="000973E7" w:rsidRPr="00D638FB" w:rsidRDefault="000973E7" w:rsidP="000973E7">
            <w:pPr>
              <w:spacing w:line="276" w:lineRule="auto"/>
              <w:jc w:val="both"/>
              <w:rPr>
                <w:rFonts w:cstheme="minorHAnsi"/>
              </w:rPr>
            </w:pPr>
            <w:r w:rsidRPr="00A33314">
              <w:rPr>
                <w:rFonts w:cstheme="minorHAnsi"/>
              </w:rPr>
              <w:t>Ferndale Court</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685E639F" w14:textId="73EF9411" w:rsidR="000973E7" w:rsidRPr="00D638FB" w:rsidRDefault="000973E7" w:rsidP="000973E7">
            <w:pPr>
              <w:spacing w:line="276" w:lineRule="auto"/>
              <w:jc w:val="both"/>
              <w:rPr>
                <w:rFonts w:cstheme="minorHAnsi"/>
              </w:rPr>
            </w:pPr>
            <w:r w:rsidRPr="00D638FB">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0820BA1C" w14:textId="27943162" w:rsidR="000973E7" w:rsidRPr="00826421" w:rsidRDefault="000973E7" w:rsidP="000973E7">
            <w:pPr>
              <w:spacing w:line="276" w:lineRule="auto"/>
              <w:jc w:val="both"/>
              <w:rPr>
                <w:rFonts w:cstheme="minorHAnsi"/>
              </w:rPr>
            </w:pPr>
            <w:r>
              <w:rPr>
                <w:rFonts w:cstheme="minorHAnsi"/>
              </w:rPr>
              <w:t>35</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6A907480" w14:textId="06D46386" w:rsidR="000973E7" w:rsidRPr="00826421" w:rsidRDefault="000973E7" w:rsidP="000973E7">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42D23269" w14:textId="67660944" w:rsidR="000973E7" w:rsidRPr="00826421" w:rsidRDefault="000973E7" w:rsidP="000973E7">
            <w:pPr>
              <w:spacing w:line="276" w:lineRule="auto"/>
              <w:jc w:val="both"/>
              <w:rPr>
                <w:rFonts w:cstheme="minorHAnsi"/>
              </w:rPr>
            </w:pPr>
            <w:r>
              <w:rPr>
                <w:rFonts w:cstheme="minorHAnsi"/>
              </w:rPr>
              <w:t>1/2-bed Flats</w:t>
            </w:r>
          </w:p>
        </w:tc>
      </w:tr>
      <w:tr w:rsidR="000B75D0" w:rsidRPr="00826421" w14:paraId="4E0D01E9"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95E698" w14:textId="6831359D" w:rsidR="000B75D0" w:rsidRDefault="000B75D0" w:rsidP="000B75D0">
            <w:pPr>
              <w:spacing w:line="276" w:lineRule="auto"/>
              <w:jc w:val="both"/>
              <w:rPr>
                <w:rFonts w:cstheme="minorHAnsi"/>
              </w:rPr>
            </w:pPr>
            <w:r>
              <w:rPr>
                <w:rFonts w:cstheme="minorHAnsi"/>
              </w:rPr>
              <w:t>13</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6FBC4B87" w14:textId="11C0E59D" w:rsidR="000B75D0" w:rsidRPr="00D638FB" w:rsidRDefault="000B75D0" w:rsidP="000B75D0">
            <w:pPr>
              <w:spacing w:line="276" w:lineRule="auto"/>
              <w:jc w:val="both"/>
              <w:rPr>
                <w:rFonts w:cstheme="minorHAnsi"/>
              </w:rPr>
            </w:pPr>
            <w:r w:rsidRPr="005378BC">
              <w:rPr>
                <w:rFonts w:cstheme="minorHAnsi"/>
              </w:rPr>
              <w:t>Victoria Court</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25AA730E" w14:textId="1223F68E" w:rsidR="000B75D0" w:rsidRPr="00D638FB" w:rsidRDefault="000B75D0" w:rsidP="000B75D0">
            <w:pPr>
              <w:spacing w:line="276" w:lineRule="auto"/>
              <w:jc w:val="both"/>
              <w:rPr>
                <w:rFonts w:cstheme="minorHAnsi"/>
              </w:rPr>
            </w:pPr>
            <w:r w:rsidRPr="00D638FB">
              <w:rPr>
                <w:rFonts w:cstheme="minorHAnsi"/>
              </w:rPr>
              <w:t>Retirement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170CA10D" w14:textId="29B3B828" w:rsidR="000B75D0" w:rsidRPr="00826421" w:rsidRDefault="000B75D0" w:rsidP="000B75D0">
            <w:pPr>
              <w:spacing w:line="276" w:lineRule="auto"/>
              <w:jc w:val="both"/>
              <w:rPr>
                <w:rFonts w:cstheme="minorHAnsi"/>
              </w:rPr>
            </w:pPr>
            <w:r>
              <w:rPr>
                <w:rFonts w:cstheme="minorHAnsi"/>
              </w:rPr>
              <w:t>34</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5A8B35B4" w14:textId="796B67D5" w:rsidR="000B75D0" w:rsidRPr="00826421" w:rsidRDefault="000B75D0" w:rsidP="000B75D0">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29982D42" w14:textId="6EACA940" w:rsidR="000B75D0" w:rsidRPr="00826421" w:rsidRDefault="000B75D0" w:rsidP="000B75D0">
            <w:pPr>
              <w:spacing w:line="276" w:lineRule="auto"/>
              <w:jc w:val="both"/>
              <w:rPr>
                <w:rFonts w:cstheme="minorHAnsi"/>
              </w:rPr>
            </w:pPr>
            <w:r>
              <w:rPr>
                <w:rFonts w:cstheme="minorHAnsi"/>
              </w:rPr>
              <w:t>1-bed Flats</w:t>
            </w:r>
          </w:p>
        </w:tc>
      </w:tr>
      <w:tr w:rsidR="000973E7" w:rsidRPr="00826421" w14:paraId="525E16D2"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6C78DA" w14:textId="111A3E7B" w:rsidR="000973E7" w:rsidRPr="00826421" w:rsidRDefault="000973E7" w:rsidP="000973E7">
            <w:pPr>
              <w:spacing w:line="276" w:lineRule="auto"/>
              <w:jc w:val="both"/>
              <w:rPr>
                <w:rFonts w:cstheme="minorHAnsi"/>
              </w:rPr>
            </w:pPr>
            <w:r>
              <w:rPr>
                <w:rFonts w:cstheme="minorHAnsi"/>
              </w:rPr>
              <w:t>14</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65651158" w14:textId="287EC99D" w:rsidR="000973E7" w:rsidRPr="00D638FB" w:rsidRDefault="000973E7" w:rsidP="000973E7">
            <w:pPr>
              <w:spacing w:line="276" w:lineRule="auto"/>
              <w:jc w:val="both"/>
              <w:rPr>
                <w:rFonts w:cstheme="minorHAnsi"/>
              </w:rPr>
            </w:pPr>
            <w:r w:rsidRPr="00A33314">
              <w:rPr>
                <w:rFonts w:cstheme="minorHAnsi"/>
              </w:rPr>
              <w:t>Harvey Court Bungalows</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7157481D" w14:textId="03CD2B96" w:rsidR="000973E7" w:rsidRPr="00D638FB" w:rsidRDefault="000973E7" w:rsidP="000973E7">
            <w:pPr>
              <w:spacing w:line="276" w:lineRule="auto"/>
              <w:jc w:val="both"/>
              <w:rPr>
                <w:rFonts w:cstheme="minorHAnsi"/>
              </w:rPr>
            </w:pPr>
            <w:r w:rsidRPr="00D638FB">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3C7676FF" w14:textId="40249007" w:rsidR="000973E7" w:rsidRPr="00826421" w:rsidRDefault="000973E7" w:rsidP="000973E7">
            <w:pPr>
              <w:spacing w:line="276" w:lineRule="auto"/>
              <w:jc w:val="both"/>
              <w:rPr>
                <w:rFonts w:cstheme="minorHAnsi"/>
              </w:rPr>
            </w:pPr>
            <w:r>
              <w:rPr>
                <w:rFonts w:cstheme="minorHAnsi"/>
              </w:rPr>
              <w:t>25</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27BFF539" w14:textId="5A7346D8" w:rsidR="000973E7" w:rsidRPr="00826421" w:rsidRDefault="000973E7" w:rsidP="000973E7">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0A2F445B" w14:textId="61881FEC" w:rsidR="000973E7" w:rsidRPr="00826421" w:rsidRDefault="000973E7" w:rsidP="000973E7">
            <w:pPr>
              <w:spacing w:line="276" w:lineRule="auto"/>
              <w:jc w:val="both"/>
              <w:rPr>
                <w:rFonts w:cstheme="minorHAnsi"/>
              </w:rPr>
            </w:pPr>
            <w:r>
              <w:rPr>
                <w:rFonts w:cstheme="minorHAnsi"/>
              </w:rPr>
              <w:t>2/3-bed Bungalow</w:t>
            </w:r>
          </w:p>
        </w:tc>
      </w:tr>
      <w:tr w:rsidR="000E7481" w:rsidRPr="00826421" w14:paraId="28538B8E"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DE694B" w14:textId="26D43BC8" w:rsidR="000E7481" w:rsidRPr="00826421" w:rsidRDefault="000E7481" w:rsidP="000E7481">
            <w:pPr>
              <w:spacing w:line="276" w:lineRule="auto"/>
              <w:jc w:val="both"/>
              <w:rPr>
                <w:rFonts w:cstheme="minorHAnsi"/>
              </w:rPr>
            </w:pPr>
            <w:r>
              <w:rPr>
                <w:rFonts w:cstheme="minorHAnsi"/>
              </w:rPr>
              <w:t>15</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527A4659" w14:textId="194EC812" w:rsidR="000E7481" w:rsidRPr="00D638FB" w:rsidRDefault="000E7481" w:rsidP="000E7481">
            <w:pPr>
              <w:spacing w:line="276" w:lineRule="auto"/>
              <w:jc w:val="both"/>
              <w:rPr>
                <w:rFonts w:cstheme="minorHAnsi"/>
              </w:rPr>
            </w:pPr>
            <w:r w:rsidRPr="00C42D88">
              <w:rPr>
                <w:rFonts w:cstheme="minorHAnsi"/>
              </w:rPr>
              <w:t>Meadow Rise</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37E9B7F2" w14:textId="26CE2D7E" w:rsidR="000E7481" w:rsidRPr="00D638FB" w:rsidRDefault="000E7481" w:rsidP="000E7481">
            <w:pPr>
              <w:spacing w:line="276" w:lineRule="auto"/>
              <w:jc w:val="both"/>
              <w:rPr>
                <w:rFonts w:cstheme="minorHAnsi"/>
              </w:rPr>
            </w:pPr>
            <w:r w:rsidRPr="00D638FB">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1C42A32C" w14:textId="042FA93E" w:rsidR="000E7481" w:rsidRPr="00826421" w:rsidRDefault="000E7481" w:rsidP="000E7481">
            <w:pPr>
              <w:spacing w:line="276" w:lineRule="auto"/>
              <w:jc w:val="both"/>
              <w:rPr>
                <w:rFonts w:cstheme="minorHAnsi"/>
              </w:rPr>
            </w:pPr>
            <w:r>
              <w:rPr>
                <w:rFonts w:cstheme="minorHAnsi"/>
              </w:rPr>
              <w:t>13</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437A83CF" w14:textId="173E87A3" w:rsidR="000E7481" w:rsidRPr="00826421" w:rsidRDefault="000E7481" w:rsidP="000E7481">
            <w:pPr>
              <w:spacing w:line="276" w:lineRule="auto"/>
              <w:jc w:val="both"/>
              <w:rPr>
                <w:rFonts w:cstheme="minorHAnsi"/>
              </w:rPr>
            </w:pPr>
            <w:r>
              <w:rPr>
                <w:rFonts w:cstheme="minorHAnsi"/>
              </w:rPr>
              <w:t>Leasehold</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4E1F7836" w14:textId="21F4CD52" w:rsidR="000E7481" w:rsidRPr="00826421" w:rsidRDefault="000E7481" w:rsidP="000E7481">
            <w:pPr>
              <w:spacing w:line="276" w:lineRule="auto"/>
              <w:jc w:val="both"/>
              <w:rPr>
                <w:rFonts w:cstheme="minorHAnsi"/>
              </w:rPr>
            </w:pPr>
            <w:r>
              <w:rPr>
                <w:rFonts w:cstheme="minorHAnsi"/>
              </w:rPr>
              <w:t>2-bed Bungalow</w:t>
            </w:r>
          </w:p>
        </w:tc>
      </w:tr>
      <w:tr w:rsidR="00A5181B" w:rsidRPr="00826421" w14:paraId="2873E782"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5EE1F9" w14:textId="00D2D2F3" w:rsidR="00A5181B" w:rsidRPr="00826421" w:rsidRDefault="00A5181B" w:rsidP="00A5181B">
            <w:pPr>
              <w:spacing w:line="276" w:lineRule="auto"/>
              <w:jc w:val="both"/>
              <w:rPr>
                <w:rFonts w:cstheme="minorHAnsi"/>
              </w:rPr>
            </w:pPr>
            <w:r>
              <w:rPr>
                <w:rFonts w:cstheme="minorHAnsi"/>
              </w:rPr>
              <w:t>16</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5D0FC580" w14:textId="09196935" w:rsidR="00A5181B" w:rsidRPr="00D638FB" w:rsidRDefault="00A5181B" w:rsidP="00A5181B">
            <w:pPr>
              <w:spacing w:line="276" w:lineRule="auto"/>
              <w:jc w:val="both"/>
              <w:rPr>
                <w:rFonts w:cstheme="minorHAnsi"/>
              </w:rPr>
            </w:pPr>
            <w:r w:rsidRPr="00C42D88">
              <w:rPr>
                <w:rFonts w:cstheme="minorHAnsi"/>
              </w:rPr>
              <w:t>Maple Court</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4118BA9C" w14:textId="6899EC70" w:rsidR="00A5181B" w:rsidRPr="00A5181B" w:rsidRDefault="00A5181B" w:rsidP="00A5181B">
            <w:pPr>
              <w:spacing w:line="276" w:lineRule="auto"/>
              <w:jc w:val="both"/>
              <w:rPr>
                <w:rFonts w:cstheme="minorHAnsi"/>
              </w:rPr>
            </w:pPr>
            <w:r w:rsidRPr="00A5181B">
              <w:rPr>
                <w:rFonts w:cstheme="minorHAnsi"/>
              </w:rPr>
              <w:t>Extra care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6CBBB6DB" w14:textId="34BEE7BA" w:rsidR="00A5181B" w:rsidRPr="00826421" w:rsidRDefault="00A5181B" w:rsidP="00A5181B">
            <w:pPr>
              <w:spacing w:line="276" w:lineRule="auto"/>
              <w:jc w:val="both"/>
              <w:rPr>
                <w:rFonts w:cstheme="minorHAnsi"/>
              </w:rPr>
            </w:pPr>
            <w:r>
              <w:rPr>
                <w:rFonts w:cstheme="minorHAnsi"/>
              </w:rPr>
              <w:t>45</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7862D4A2" w14:textId="44D90B75" w:rsidR="00A5181B" w:rsidRPr="00826421" w:rsidRDefault="00A5181B" w:rsidP="00A5181B">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02844C68" w14:textId="559972A6" w:rsidR="00A5181B" w:rsidRPr="00826421" w:rsidRDefault="00A5181B" w:rsidP="00A5181B">
            <w:pPr>
              <w:spacing w:line="276" w:lineRule="auto"/>
              <w:jc w:val="both"/>
              <w:rPr>
                <w:rFonts w:cstheme="minorHAnsi"/>
              </w:rPr>
            </w:pPr>
            <w:r>
              <w:rPr>
                <w:rFonts w:cstheme="minorHAnsi"/>
              </w:rPr>
              <w:t>1/2-bed Flats</w:t>
            </w:r>
          </w:p>
        </w:tc>
      </w:tr>
      <w:tr w:rsidR="00BF6112" w:rsidRPr="00826421" w14:paraId="54392B4E"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1AC9A0" w14:textId="3E870CCC" w:rsidR="00BF6112" w:rsidRDefault="00BF6112" w:rsidP="00BF6112">
            <w:pPr>
              <w:spacing w:line="276" w:lineRule="auto"/>
              <w:jc w:val="both"/>
              <w:rPr>
                <w:rFonts w:cstheme="minorHAnsi"/>
              </w:rPr>
            </w:pPr>
            <w:r>
              <w:rPr>
                <w:rFonts w:cstheme="minorHAnsi"/>
              </w:rPr>
              <w:t>17</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0EB5D5F8" w14:textId="12AA149D" w:rsidR="00BF6112" w:rsidRPr="00D638FB" w:rsidRDefault="00BF6112" w:rsidP="00BF6112">
            <w:pPr>
              <w:spacing w:line="276" w:lineRule="auto"/>
              <w:jc w:val="both"/>
              <w:rPr>
                <w:rFonts w:cstheme="minorHAnsi"/>
              </w:rPr>
            </w:pPr>
            <w:r w:rsidRPr="00C42D88">
              <w:rPr>
                <w:rFonts w:cstheme="minorHAnsi"/>
              </w:rPr>
              <w:t>Ramsay Terrace Bungalows</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70DE5293" w14:textId="2C27D6D8" w:rsidR="00BF6112" w:rsidRPr="00D638FB" w:rsidRDefault="00BF6112" w:rsidP="00BF6112">
            <w:pPr>
              <w:spacing w:line="276" w:lineRule="auto"/>
              <w:jc w:val="both"/>
              <w:rPr>
                <w:rFonts w:cstheme="minorHAnsi"/>
              </w:rPr>
            </w:pPr>
            <w:r w:rsidRPr="00D638FB">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1C12B62F" w14:textId="37CD32F0" w:rsidR="00BF6112" w:rsidRPr="00826421" w:rsidRDefault="00BF6112" w:rsidP="00BF6112">
            <w:pPr>
              <w:spacing w:line="276" w:lineRule="auto"/>
              <w:jc w:val="both"/>
              <w:rPr>
                <w:rFonts w:cstheme="minorHAnsi"/>
              </w:rPr>
            </w:pPr>
            <w:r>
              <w:rPr>
                <w:rFonts w:cstheme="minorHAnsi"/>
              </w:rPr>
              <w:t>12</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14E3E864" w14:textId="5A7145A8" w:rsidR="00BF6112" w:rsidRPr="00826421" w:rsidRDefault="00BF6112" w:rsidP="00BF6112">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06570A77" w14:textId="468A1373" w:rsidR="00BF6112" w:rsidRPr="00826421" w:rsidRDefault="00BF6112" w:rsidP="00BF6112">
            <w:pPr>
              <w:spacing w:line="276" w:lineRule="auto"/>
              <w:jc w:val="both"/>
              <w:rPr>
                <w:rFonts w:cstheme="minorHAnsi"/>
              </w:rPr>
            </w:pPr>
            <w:r>
              <w:rPr>
                <w:rFonts w:cstheme="minorHAnsi"/>
              </w:rPr>
              <w:t>2-bed Bungalow</w:t>
            </w:r>
          </w:p>
        </w:tc>
      </w:tr>
      <w:tr w:rsidR="000973E7" w:rsidRPr="00826421" w14:paraId="20543A72"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862F00" w14:textId="298B9032" w:rsidR="000973E7" w:rsidRPr="00826421" w:rsidRDefault="000973E7" w:rsidP="000973E7">
            <w:pPr>
              <w:spacing w:line="276" w:lineRule="auto"/>
              <w:jc w:val="both"/>
              <w:rPr>
                <w:rFonts w:cstheme="minorHAnsi"/>
              </w:rPr>
            </w:pPr>
            <w:r>
              <w:rPr>
                <w:rFonts w:cstheme="minorHAnsi"/>
              </w:rPr>
              <w:t>18</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43C61A2C" w14:textId="3812C28E" w:rsidR="000973E7" w:rsidRPr="00D638FB" w:rsidRDefault="000973E7" w:rsidP="000973E7">
            <w:pPr>
              <w:spacing w:line="276" w:lineRule="auto"/>
              <w:jc w:val="both"/>
              <w:rPr>
                <w:rFonts w:cstheme="minorHAnsi"/>
              </w:rPr>
            </w:pPr>
            <w:r w:rsidRPr="007D26D7">
              <w:rPr>
                <w:rFonts w:cstheme="minorHAnsi"/>
              </w:rPr>
              <w:t>Delves Lane</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21E6D78A" w14:textId="1251BD13" w:rsidR="000973E7" w:rsidRPr="00D638FB" w:rsidRDefault="000973E7" w:rsidP="000973E7">
            <w:pPr>
              <w:spacing w:line="276" w:lineRule="auto"/>
              <w:jc w:val="both"/>
              <w:rPr>
                <w:rFonts w:cstheme="minorHAnsi"/>
              </w:rPr>
            </w:pPr>
            <w:r w:rsidRPr="00D638FB">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2FE77C89" w14:textId="44F5025E" w:rsidR="000973E7" w:rsidRPr="00826421" w:rsidRDefault="000973E7" w:rsidP="000973E7">
            <w:pPr>
              <w:spacing w:line="276" w:lineRule="auto"/>
              <w:jc w:val="both"/>
              <w:rPr>
                <w:rFonts w:cstheme="minorHAnsi"/>
              </w:rPr>
            </w:pPr>
            <w:r>
              <w:rPr>
                <w:rFonts w:cstheme="minorHAnsi"/>
              </w:rPr>
              <w:t>-</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5EA15E79" w14:textId="0668ADAA" w:rsidR="000973E7" w:rsidRPr="00826421" w:rsidRDefault="000973E7" w:rsidP="000973E7">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6FB22577" w14:textId="78DAFA3E" w:rsidR="000973E7" w:rsidRPr="00826421" w:rsidRDefault="000973E7" w:rsidP="000973E7">
            <w:pPr>
              <w:spacing w:line="276" w:lineRule="auto"/>
              <w:jc w:val="both"/>
              <w:rPr>
                <w:rFonts w:cstheme="minorHAnsi"/>
              </w:rPr>
            </w:pPr>
            <w:r>
              <w:rPr>
                <w:rFonts w:cstheme="minorHAnsi"/>
              </w:rPr>
              <w:t>2-bed Bungalow</w:t>
            </w:r>
          </w:p>
        </w:tc>
      </w:tr>
      <w:tr w:rsidR="000973E7" w:rsidRPr="00826421" w14:paraId="0624861C"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F0039B" w14:textId="0DCF86C3" w:rsidR="000973E7" w:rsidRPr="00826421" w:rsidRDefault="000973E7" w:rsidP="000973E7">
            <w:pPr>
              <w:spacing w:line="276" w:lineRule="auto"/>
              <w:jc w:val="both"/>
              <w:rPr>
                <w:rFonts w:cstheme="minorHAnsi"/>
              </w:rPr>
            </w:pPr>
            <w:r>
              <w:rPr>
                <w:rFonts w:cstheme="minorHAnsi"/>
              </w:rPr>
              <w:lastRenderedPageBreak/>
              <w:t>19</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6BC711BF" w14:textId="044AD45B" w:rsidR="000973E7" w:rsidRPr="00D638FB" w:rsidRDefault="000973E7" w:rsidP="000973E7">
            <w:pPr>
              <w:spacing w:line="276" w:lineRule="auto"/>
              <w:jc w:val="both"/>
              <w:rPr>
                <w:rFonts w:cstheme="minorHAnsi"/>
              </w:rPr>
            </w:pPr>
            <w:r w:rsidRPr="00370AF0">
              <w:rPr>
                <w:rFonts w:cstheme="minorHAnsi"/>
              </w:rPr>
              <w:t>Durham Road Estate</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4F00AE51" w14:textId="5C331E9D" w:rsidR="000973E7" w:rsidRPr="00D638FB" w:rsidRDefault="000973E7" w:rsidP="000973E7">
            <w:pPr>
              <w:spacing w:line="276" w:lineRule="auto"/>
              <w:jc w:val="both"/>
              <w:rPr>
                <w:rFonts w:cstheme="minorHAnsi"/>
              </w:rPr>
            </w:pPr>
            <w:r w:rsidRPr="00D638FB">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682C42D9" w14:textId="221EFFF8" w:rsidR="000973E7" w:rsidRPr="00826421" w:rsidRDefault="000973E7" w:rsidP="000973E7">
            <w:pPr>
              <w:spacing w:line="276" w:lineRule="auto"/>
              <w:jc w:val="both"/>
              <w:rPr>
                <w:rFonts w:cstheme="minorHAnsi"/>
              </w:rPr>
            </w:pPr>
            <w:r>
              <w:rPr>
                <w:rFonts w:cstheme="minorHAnsi"/>
              </w:rPr>
              <w:t>-</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050D6E7B" w14:textId="1A4E830B" w:rsidR="000973E7" w:rsidRPr="00826421" w:rsidRDefault="000973E7" w:rsidP="000973E7">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6F540A85" w14:textId="51060E71" w:rsidR="000973E7" w:rsidRPr="00826421" w:rsidRDefault="000973E7" w:rsidP="000973E7">
            <w:pPr>
              <w:spacing w:line="276" w:lineRule="auto"/>
              <w:jc w:val="both"/>
              <w:rPr>
                <w:rFonts w:cstheme="minorHAnsi"/>
              </w:rPr>
            </w:pPr>
            <w:r>
              <w:rPr>
                <w:rFonts w:cstheme="minorHAnsi"/>
              </w:rPr>
              <w:t>1/2-bed Bungalow</w:t>
            </w:r>
          </w:p>
        </w:tc>
      </w:tr>
      <w:tr w:rsidR="000973E7" w:rsidRPr="00826421" w14:paraId="2D415A31"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467BD" w14:textId="005BA2CD" w:rsidR="000973E7" w:rsidRPr="00826421" w:rsidRDefault="000973E7" w:rsidP="000973E7">
            <w:pPr>
              <w:spacing w:line="276" w:lineRule="auto"/>
              <w:jc w:val="both"/>
              <w:rPr>
                <w:rFonts w:cstheme="minorHAnsi"/>
              </w:rPr>
            </w:pPr>
            <w:r>
              <w:rPr>
                <w:rFonts w:cstheme="minorHAnsi"/>
              </w:rPr>
              <w:t>20</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1CDC7C61" w14:textId="4736DFEB" w:rsidR="000973E7" w:rsidRPr="00D638FB" w:rsidRDefault="000973E7" w:rsidP="000973E7">
            <w:pPr>
              <w:spacing w:line="276" w:lineRule="auto"/>
              <w:jc w:val="both"/>
              <w:rPr>
                <w:rFonts w:cstheme="minorHAnsi"/>
              </w:rPr>
            </w:pPr>
            <w:r w:rsidRPr="00370AF0">
              <w:rPr>
                <w:rFonts w:cstheme="minorHAnsi"/>
              </w:rPr>
              <w:t>Front Street Area</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519C49FD" w14:textId="54C8C330" w:rsidR="000973E7" w:rsidRPr="00D638FB" w:rsidRDefault="000973E7" w:rsidP="000973E7">
            <w:pPr>
              <w:spacing w:line="276" w:lineRule="auto"/>
              <w:jc w:val="both"/>
              <w:rPr>
                <w:rFonts w:cstheme="minorHAnsi"/>
              </w:rPr>
            </w:pPr>
            <w:r w:rsidRPr="00D638FB">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73CF43F3" w14:textId="31B0B9CE" w:rsidR="000973E7" w:rsidRPr="00826421" w:rsidRDefault="000973E7" w:rsidP="000973E7">
            <w:pPr>
              <w:spacing w:line="276" w:lineRule="auto"/>
              <w:jc w:val="both"/>
              <w:rPr>
                <w:rFonts w:cstheme="minorHAnsi"/>
              </w:rPr>
            </w:pPr>
            <w:r>
              <w:rPr>
                <w:rFonts w:cstheme="minorHAnsi"/>
              </w:rPr>
              <w:t>-</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716EC7B2" w14:textId="63D4F398" w:rsidR="000973E7" w:rsidRPr="00826421" w:rsidRDefault="000973E7" w:rsidP="000973E7">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41EFF2C5" w14:textId="7B91ED4D" w:rsidR="000973E7" w:rsidRPr="00826421" w:rsidRDefault="000973E7" w:rsidP="000973E7">
            <w:pPr>
              <w:spacing w:line="276" w:lineRule="auto"/>
              <w:jc w:val="both"/>
              <w:rPr>
                <w:rFonts w:cstheme="minorHAnsi"/>
              </w:rPr>
            </w:pPr>
            <w:r>
              <w:rPr>
                <w:rFonts w:cstheme="minorHAnsi"/>
              </w:rPr>
              <w:t>1/2-bed Bungalow</w:t>
            </w:r>
          </w:p>
        </w:tc>
      </w:tr>
      <w:tr w:rsidR="000973E7" w:rsidRPr="00826421" w14:paraId="6C09DF85"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E3BD85" w14:textId="365FE43B" w:rsidR="000973E7" w:rsidRPr="00826421" w:rsidRDefault="000973E7" w:rsidP="000973E7">
            <w:pPr>
              <w:spacing w:line="276" w:lineRule="auto"/>
              <w:jc w:val="both"/>
              <w:rPr>
                <w:rFonts w:cstheme="minorHAnsi"/>
              </w:rPr>
            </w:pPr>
            <w:r>
              <w:rPr>
                <w:rFonts w:cstheme="minorHAnsi"/>
              </w:rPr>
              <w:t>21</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11EA77FA" w14:textId="767536A5" w:rsidR="000973E7" w:rsidRPr="00D638FB" w:rsidRDefault="000973E7" w:rsidP="000973E7">
            <w:pPr>
              <w:spacing w:line="276" w:lineRule="auto"/>
              <w:jc w:val="both"/>
              <w:rPr>
                <w:rFonts w:cstheme="minorHAnsi"/>
              </w:rPr>
            </w:pPr>
            <w:r w:rsidRPr="006365D4">
              <w:rPr>
                <w:rFonts w:cstheme="minorHAnsi"/>
              </w:rPr>
              <w:t>Dere Park</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6B09716F" w14:textId="68D5B407" w:rsidR="000973E7" w:rsidRPr="00D638FB" w:rsidRDefault="000973E7" w:rsidP="000973E7">
            <w:pPr>
              <w:spacing w:line="276" w:lineRule="auto"/>
              <w:jc w:val="both"/>
              <w:rPr>
                <w:rFonts w:cstheme="minorHAnsi"/>
              </w:rPr>
            </w:pPr>
            <w:r w:rsidRPr="00D638FB">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64519154" w14:textId="3B9983B4" w:rsidR="000973E7" w:rsidRPr="00826421" w:rsidRDefault="000973E7" w:rsidP="000973E7">
            <w:pPr>
              <w:spacing w:line="276" w:lineRule="auto"/>
              <w:jc w:val="both"/>
              <w:rPr>
                <w:rFonts w:cstheme="minorHAnsi"/>
              </w:rPr>
            </w:pPr>
            <w:r>
              <w:rPr>
                <w:rFonts w:cstheme="minorHAnsi"/>
              </w:rPr>
              <w:t>10</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284133D6" w14:textId="0B5E5242" w:rsidR="000973E7" w:rsidRPr="00826421" w:rsidRDefault="000973E7" w:rsidP="000973E7">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686E56EE" w14:textId="3C86547E" w:rsidR="000973E7" w:rsidRPr="00826421" w:rsidRDefault="000973E7" w:rsidP="000973E7">
            <w:pPr>
              <w:spacing w:line="276" w:lineRule="auto"/>
              <w:jc w:val="both"/>
              <w:rPr>
                <w:rFonts w:cstheme="minorHAnsi"/>
              </w:rPr>
            </w:pPr>
            <w:r>
              <w:rPr>
                <w:rFonts w:cstheme="minorHAnsi"/>
              </w:rPr>
              <w:t>1-bed Bungalow</w:t>
            </w:r>
          </w:p>
        </w:tc>
      </w:tr>
      <w:tr w:rsidR="000973E7" w:rsidRPr="00826421" w14:paraId="72AEDC34"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8695D3" w14:textId="4121F405" w:rsidR="000973E7" w:rsidRPr="00826421" w:rsidRDefault="000973E7" w:rsidP="000973E7">
            <w:pPr>
              <w:spacing w:line="276" w:lineRule="auto"/>
              <w:jc w:val="both"/>
              <w:rPr>
                <w:rFonts w:cstheme="minorHAnsi"/>
              </w:rPr>
            </w:pPr>
            <w:r>
              <w:rPr>
                <w:rFonts w:cstheme="minorHAnsi"/>
              </w:rPr>
              <w:t>22</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2B2E99A5" w14:textId="5F52E6C3" w:rsidR="000973E7" w:rsidRPr="00D638FB" w:rsidRDefault="000973E7" w:rsidP="000973E7">
            <w:pPr>
              <w:spacing w:line="276" w:lineRule="auto"/>
              <w:jc w:val="both"/>
              <w:rPr>
                <w:rFonts w:cstheme="minorHAnsi"/>
              </w:rPr>
            </w:pPr>
            <w:r w:rsidRPr="006365D4">
              <w:rPr>
                <w:rFonts w:cstheme="minorHAnsi"/>
              </w:rPr>
              <w:t>Clark Terrace Bungalows</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35C90830" w14:textId="383A7B79" w:rsidR="000973E7" w:rsidRPr="00D638FB" w:rsidRDefault="000973E7" w:rsidP="000973E7">
            <w:pPr>
              <w:spacing w:line="276" w:lineRule="auto"/>
              <w:jc w:val="both"/>
              <w:rPr>
                <w:rFonts w:cstheme="minorHAnsi"/>
              </w:rPr>
            </w:pPr>
            <w:r w:rsidRPr="00D638FB">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7C4BEA95" w14:textId="500EA6E1" w:rsidR="000973E7" w:rsidRPr="00826421" w:rsidRDefault="000973E7" w:rsidP="000973E7">
            <w:pPr>
              <w:spacing w:line="276" w:lineRule="auto"/>
              <w:jc w:val="both"/>
              <w:rPr>
                <w:rFonts w:cstheme="minorHAnsi"/>
              </w:rPr>
            </w:pPr>
            <w:r>
              <w:rPr>
                <w:rFonts w:cstheme="minorHAnsi"/>
              </w:rPr>
              <w:t>8</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07734B78" w14:textId="574DD5D8" w:rsidR="000973E7" w:rsidRPr="00826421" w:rsidRDefault="000973E7" w:rsidP="000973E7">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6D22FF73" w14:textId="60119A48" w:rsidR="000973E7" w:rsidRPr="00826421" w:rsidRDefault="000973E7" w:rsidP="000973E7">
            <w:pPr>
              <w:spacing w:line="276" w:lineRule="auto"/>
              <w:jc w:val="both"/>
              <w:rPr>
                <w:rFonts w:cstheme="minorHAnsi"/>
              </w:rPr>
            </w:pPr>
            <w:r>
              <w:rPr>
                <w:rFonts w:cstheme="minorHAnsi"/>
              </w:rPr>
              <w:t>2-bed Bungalow</w:t>
            </w:r>
          </w:p>
        </w:tc>
      </w:tr>
      <w:tr w:rsidR="000973E7" w:rsidRPr="00826421" w14:paraId="238AA1AA"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561C72" w14:textId="31E746BE" w:rsidR="000973E7" w:rsidRPr="00826421" w:rsidRDefault="000973E7" w:rsidP="000973E7">
            <w:pPr>
              <w:spacing w:line="276" w:lineRule="auto"/>
              <w:jc w:val="both"/>
              <w:rPr>
                <w:rFonts w:cstheme="minorHAnsi"/>
              </w:rPr>
            </w:pPr>
            <w:r>
              <w:rPr>
                <w:rFonts w:cstheme="minorHAnsi"/>
              </w:rPr>
              <w:t>23</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188DFBA3" w14:textId="0BE0BA86" w:rsidR="000973E7" w:rsidRPr="00D638FB" w:rsidRDefault="000973E7" w:rsidP="000973E7">
            <w:pPr>
              <w:spacing w:line="276" w:lineRule="auto"/>
              <w:jc w:val="both"/>
              <w:rPr>
                <w:rFonts w:cstheme="minorHAnsi"/>
              </w:rPr>
            </w:pPr>
            <w:r w:rsidRPr="00341D7D">
              <w:rPr>
                <w:rFonts w:cstheme="minorHAnsi"/>
              </w:rPr>
              <w:t>Jubilee Court</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19FB54DD" w14:textId="2379328D" w:rsidR="000973E7" w:rsidRPr="00D638FB" w:rsidRDefault="000973E7" w:rsidP="000973E7">
            <w:pPr>
              <w:spacing w:line="276" w:lineRule="auto"/>
              <w:jc w:val="both"/>
              <w:rPr>
                <w:rFonts w:cstheme="minorHAnsi"/>
              </w:rPr>
            </w:pPr>
            <w:r w:rsidRPr="00D638FB">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59F3620C" w14:textId="1BA5D053" w:rsidR="000973E7" w:rsidRPr="00826421" w:rsidRDefault="000973E7" w:rsidP="000973E7">
            <w:pPr>
              <w:spacing w:line="276" w:lineRule="auto"/>
              <w:jc w:val="both"/>
              <w:rPr>
                <w:rFonts w:cstheme="minorHAnsi"/>
              </w:rPr>
            </w:pPr>
            <w:r>
              <w:rPr>
                <w:rFonts w:cstheme="minorHAnsi"/>
              </w:rPr>
              <w:t>25</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6905564D" w14:textId="199D6915" w:rsidR="000973E7" w:rsidRPr="00826421" w:rsidRDefault="000973E7" w:rsidP="000973E7">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0CCCB00D" w14:textId="46D51628" w:rsidR="000973E7" w:rsidRPr="00826421" w:rsidRDefault="000973E7" w:rsidP="000973E7">
            <w:pPr>
              <w:spacing w:line="276" w:lineRule="auto"/>
              <w:jc w:val="both"/>
              <w:rPr>
                <w:rFonts w:cstheme="minorHAnsi"/>
              </w:rPr>
            </w:pPr>
            <w:r>
              <w:rPr>
                <w:rFonts w:cstheme="minorHAnsi"/>
              </w:rPr>
              <w:t>1/2-bed Flats</w:t>
            </w:r>
          </w:p>
        </w:tc>
      </w:tr>
      <w:tr w:rsidR="008B34B7" w:rsidRPr="00826421" w14:paraId="6DECC50F"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BDB37" w14:textId="414D7F38" w:rsidR="008B34B7" w:rsidRPr="00826421" w:rsidRDefault="008B34B7" w:rsidP="008B34B7">
            <w:pPr>
              <w:spacing w:line="276" w:lineRule="auto"/>
              <w:jc w:val="both"/>
              <w:rPr>
                <w:rFonts w:cstheme="minorHAnsi"/>
              </w:rPr>
            </w:pPr>
            <w:r>
              <w:rPr>
                <w:rFonts w:cstheme="minorHAnsi"/>
              </w:rPr>
              <w:t>24</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7395C58A" w14:textId="16403453" w:rsidR="008B34B7" w:rsidRPr="00D638FB" w:rsidRDefault="008B34B7" w:rsidP="008B34B7">
            <w:pPr>
              <w:spacing w:line="276" w:lineRule="auto"/>
              <w:jc w:val="both"/>
              <w:rPr>
                <w:rFonts w:cstheme="minorHAnsi"/>
              </w:rPr>
            </w:pPr>
            <w:r w:rsidRPr="00341D7D">
              <w:rPr>
                <w:rFonts w:cstheme="minorHAnsi"/>
              </w:rPr>
              <w:t>The Grove</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53C822F0" w14:textId="19B46DCC" w:rsidR="008B34B7" w:rsidRPr="00D638FB" w:rsidRDefault="008B34B7" w:rsidP="008B34B7">
            <w:pPr>
              <w:spacing w:line="276" w:lineRule="auto"/>
              <w:jc w:val="both"/>
              <w:rPr>
                <w:rFonts w:cstheme="minorHAnsi"/>
              </w:rPr>
            </w:pPr>
            <w:r w:rsidRPr="00D638FB">
              <w:rPr>
                <w:rFonts w:cstheme="minorHAnsi"/>
              </w:rPr>
              <w:t>Age Exclusive Housing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3FF128EE" w14:textId="7FAAB044" w:rsidR="008B34B7" w:rsidRPr="00826421" w:rsidRDefault="008B34B7" w:rsidP="008B34B7">
            <w:pPr>
              <w:spacing w:line="276" w:lineRule="auto"/>
              <w:jc w:val="both"/>
              <w:rPr>
                <w:rFonts w:cstheme="minorHAnsi"/>
              </w:rPr>
            </w:pPr>
            <w:r>
              <w:rPr>
                <w:rFonts w:cstheme="minorHAnsi"/>
              </w:rPr>
              <w:t>-</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21BC00D7" w14:textId="52392E51" w:rsidR="008B34B7" w:rsidRPr="00826421" w:rsidRDefault="008B34B7" w:rsidP="008B34B7">
            <w:pPr>
              <w:spacing w:line="276" w:lineRule="auto"/>
              <w:jc w:val="both"/>
              <w:rPr>
                <w:rFonts w:cstheme="minorHAnsi"/>
              </w:rPr>
            </w:pPr>
            <w:r>
              <w:rPr>
                <w:rFonts w:cstheme="minorHAnsi"/>
              </w:rPr>
              <w:t>Social Rent</w:t>
            </w: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4478EB6E" w14:textId="76B2BEF3" w:rsidR="008B34B7" w:rsidRPr="00826421" w:rsidRDefault="008B34B7" w:rsidP="008B34B7">
            <w:pPr>
              <w:spacing w:line="276" w:lineRule="auto"/>
              <w:jc w:val="both"/>
              <w:rPr>
                <w:rFonts w:cstheme="minorHAnsi"/>
              </w:rPr>
            </w:pPr>
            <w:r>
              <w:rPr>
                <w:rFonts w:cstheme="minorHAnsi"/>
              </w:rPr>
              <w:t>2-bed Bungalow</w:t>
            </w:r>
          </w:p>
        </w:tc>
      </w:tr>
      <w:tr w:rsidR="00BE7977" w:rsidRPr="00826421" w14:paraId="21C38DFC" w14:textId="77777777" w:rsidTr="00BE7977">
        <w:trPr>
          <w:trHeight w:val="367"/>
        </w:trPr>
        <w:tc>
          <w:tcPr>
            <w:tcW w:w="317"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tcPr>
          <w:p w14:paraId="0599FA96" w14:textId="77777777" w:rsidR="00BE7977" w:rsidRDefault="00BE7977" w:rsidP="008B34B7">
            <w:pPr>
              <w:spacing w:line="276" w:lineRule="auto"/>
              <w:jc w:val="both"/>
              <w:rPr>
                <w:rFonts w:cstheme="minorHAnsi"/>
              </w:rPr>
            </w:pPr>
          </w:p>
        </w:tc>
        <w:tc>
          <w:tcPr>
            <w:tcW w:w="1054" w:type="pct"/>
            <w:tcBorders>
              <w:top w:val="single" w:sz="4" w:space="0" w:color="auto"/>
              <w:left w:val="nil"/>
              <w:bottom w:val="single" w:sz="4" w:space="0" w:color="auto"/>
              <w:right w:val="single" w:sz="4" w:space="0" w:color="auto"/>
            </w:tcBorders>
            <w:shd w:val="clear" w:color="auto" w:fill="000000" w:themeFill="text1"/>
            <w:noWrap/>
            <w:vAlign w:val="center"/>
          </w:tcPr>
          <w:p w14:paraId="7F2EEDD5" w14:textId="5DC8406C" w:rsidR="00BE7977" w:rsidRPr="00BE7977" w:rsidRDefault="00BE7977" w:rsidP="008B34B7">
            <w:pPr>
              <w:spacing w:line="276" w:lineRule="auto"/>
              <w:jc w:val="both"/>
              <w:rPr>
                <w:rFonts w:cstheme="minorHAnsi"/>
                <w:b/>
                <w:bCs/>
              </w:rPr>
            </w:pPr>
            <w:r w:rsidRPr="00BE7977">
              <w:rPr>
                <w:rFonts w:cstheme="minorHAnsi"/>
                <w:b/>
                <w:bCs/>
              </w:rPr>
              <w:t>Care Facilities</w:t>
            </w:r>
          </w:p>
        </w:tc>
        <w:tc>
          <w:tcPr>
            <w:tcW w:w="1383" w:type="pct"/>
            <w:tcBorders>
              <w:top w:val="single" w:sz="4" w:space="0" w:color="auto"/>
              <w:left w:val="nil"/>
              <w:bottom w:val="single" w:sz="4" w:space="0" w:color="auto"/>
              <w:right w:val="single" w:sz="4" w:space="0" w:color="auto"/>
            </w:tcBorders>
            <w:shd w:val="clear" w:color="auto" w:fill="000000" w:themeFill="text1"/>
            <w:noWrap/>
            <w:vAlign w:val="center"/>
          </w:tcPr>
          <w:p w14:paraId="4666FE10" w14:textId="77777777" w:rsidR="00BE7977" w:rsidRPr="00D638FB" w:rsidRDefault="00BE7977" w:rsidP="008B34B7">
            <w:pPr>
              <w:spacing w:line="276" w:lineRule="auto"/>
              <w:jc w:val="both"/>
              <w:rPr>
                <w:rFonts w:cstheme="minorHAnsi"/>
              </w:rPr>
            </w:pPr>
          </w:p>
        </w:tc>
        <w:tc>
          <w:tcPr>
            <w:tcW w:w="786" w:type="pct"/>
            <w:tcBorders>
              <w:top w:val="single" w:sz="4" w:space="0" w:color="auto"/>
              <w:left w:val="nil"/>
              <w:bottom w:val="single" w:sz="4" w:space="0" w:color="auto"/>
              <w:right w:val="single" w:sz="4" w:space="0" w:color="auto"/>
            </w:tcBorders>
            <w:shd w:val="clear" w:color="auto" w:fill="000000" w:themeFill="text1"/>
            <w:noWrap/>
            <w:vAlign w:val="center"/>
          </w:tcPr>
          <w:p w14:paraId="782D850D" w14:textId="77777777" w:rsidR="00BE7977" w:rsidRDefault="00BE7977" w:rsidP="008B34B7">
            <w:pPr>
              <w:spacing w:line="276" w:lineRule="auto"/>
              <w:jc w:val="both"/>
              <w:rPr>
                <w:rFonts w:cstheme="minorHAnsi"/>
              </w:rPr>
            </w:pPr>
          </w:p>
        </w:tc>
        <w:tc>
          <w:tcPr>
            <w:tcW w:w="708" w:type="pct"/>
            <w:tcBorders>
              <w:top w:val="single" w:sz="4" w:space="0" w:color="auto"/>
              <w:left w:val="nil"/>
              <w:bottom w:val="single" w:sz="4" w:space="0" w:color="auto"/>
              <w:right w:val="single" w:sz="4" w:space="0" w:color="auto"/>
            </w:tcBorders>
            <w:shd w:val="clear" w:color="auto" w:fill="000000" w:themeFill="text1"/>
            <w:noWrap/>
            <w:vAlign w:val="center"/>
          </w:tcPr>
          <w:p w14:paraId="05562A61" w14:textId="77777777" w:rsidR="00BE7977" w:rsidRDefault="00BE7977" w:rsidP="008B34B7">
            <w:pPr>
              <w:spacing w:line="276" w:lineRule="auto"/>
              <w:jc w:val="both"/>
              <w:rPr>
                <w:rFonts w:cstheme="minorHAnsi"/>
              </w:rPr>
            </w:pPr>
          </w:p>
        </w:tc>
        <w:tc>
          <w:tcPr>
            <w:tcW w:w="752" w:type="pct"/>
            <w:tcBorders>
              <w:top w:val="single" w:sz="4" w:space="0" w:color="auto"/>
              <w:left w:val="nil"/>
              <w:bottom w:val="single" w:sz="4" w:space="0" w:color="auto"/>
              <w:right w:val="single" w:sz="4" w:space="0" w:color="auto"/>
            </w:tcBorders>
            <w:shd w:val="clear" w:color="auto" w:fill="000000" w:themeFill="text1"/>
            <w:noWrap/>
            <w:vAlign w:val="center"/>
          </w:tcPr>
          <w:p w14:paraId="55A47905" w14:textId="77777777" w:rsidR="00BE7977" w:rsidRDefault="00BE7977" w:rsidP="008B34B7">
            <w:pPr>
              <w:spacing w:line="276" w:lineRule="auto"/>
              <w:jc w:val="both"/>
              <w:rPr>
                <w:rFonts w:cstheme="minorHAnsi"/>
              </w:rPr>
            </w:pPr>
          </w:p>
        </w:tc>
      </w:tr>
      <w:tr w:rsidR="000973E7" w:rsidRPr="00826421" w14:paraId="0995CF71"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CDB725" w14:textId="54ACAFFD" w:rsidR="000973E7" w:rsidRPr="00826421" w:rsidRDefault="000973E7" w:rsidP="000973E7">
            <w:pPr>
              <w:spacing w:line="276" w:lineRule="auto"/>
              <w:jc w:val="both"/>
              <w:rPr>
                <w:rFonts w:cstheme="minorHAnsi"/>
              </w:rPr>
            </w:pPr>
            <w:r>
              <w:rPr>
                <w:rFonts w:cstheme="minorHAnsi"/>
              </w:rPr>
              <w:t>25</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25F7D20C" w14:textId="20686867" w:rsidR="000973E7" w:rsidRPr="00D638FB" w:rsidRDefault="000973E7" w:rsidP="000973E7">
            <w:pPr>
              <w:spacing w:line="276" w:lineRule="auto"/>
              <w:jc w:val="both"/>
              <w:rPr>
                <w:rFonts w:cstheme="minorHAnsi"/>
              </w:rPr>
            </w:pPr>
            <w:proofErr w:type="spellStart"/>
            <w:r w:rsidRPr="004B6096">
              <w:rPr>
                <w:rFonts w:cstheme="minorHAnsi"/>
              </w:rPr>
              <w:t>Redwell</w:t>
            </w:r>
            <w:proofErr w:type="spellEnd"/>
            <w:r w:rsidRPr="004B6096">
              <w:rPr>
                <w:rFonts w:cstheme="minorHAnsi"/>
              </w:rPr>
              <w:t xml:space="preserve"> Hills Care Home</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2F41D467" w14:textId="3295E3F6" w:rsidR="000973E7" w:rsidRPr="00D638FB" w:rsidRDefault="000973E7" w:rsidP="000973E7">
            <w:pPr>
              <w:spacing w:line="276" w:lineRule="auto"/>
              <w:jc w:val="both"/>
              <w:rPr>
                <w:rFonts w:cstheme="minorHAnsi"/>
              </w:rPr>
            </w:pPr>
            <w:r w:rsidRPr="00D638FB">
              <w:rPr>
                <w:rFonts w:cstheme="minorHAnsi"/>
              </w:rPr>
              <w:t>Care home with nursing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0B7E362F" w14:textId="60F8302D" w:rsidR="000973E7" w:rsidRPr="00826421" w:rsidRDefault="00063885" w:rsidP="000973E7">
            <w:pPr>
              <w:spacing w:line="276" w:lineRule="auto"/>
              <w:jc w:val="both"/>
              <w:rPr>
                <w:rFonts w:cstheme="minorHAnsi"/>
              </w:rPr>
            </w:pPr>
            <w:r>
              <w:rPr>
                <w:rFonts w:cstheme="minorHAnsi"/>
              </w:rPr>
              <w:t>50 single rooms</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03F1567C" w14:textId="77777777" w:rsidR="000973E7" w:rsidRPr="00826421" w:rsidRDefault="000973E7" w:rsidP="000973E7">
            <w:pPr>
              <w:spacing w:line="276" w:lineRule="auto"/>
              <w:jc w:val="both"/>
              <w:rPr>
                <w:rFonts w:cstheme="minorHAnsi"/>
              </w:rPr>
            </w:pP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5C8F895E" w14:textId="77777777" w:rsidR="000973E7" w:rsidRPr="00826421" w:rsidRDefault="000973E7" w:rsidP="000973E7">
            <w:pPr>
              <w:spacing w:line="276" w:lineRule="auto"/>
              <w:jc w:val="both"/>
              <w:rPr>
                <w:rFonts w:cstheme="minorHAnsi"/>
              </w:rPr>
            </w:pPr>
          </w:p>
        </w:tc>
      </w:tr>
      <w:tr w:rsidR="000973E7" w:rsidRPr="00826421" w14:paraId="70A5D060"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C2B7F9" w14:textId="1200F6A5" w:rsidR="000973E7" w:rsidRPr="00826421" w:rsidRDefault="000973E7" w:rsidP="000973E7">
            <w:pPr>
              <w:spacing w:line="276" w:lineRule="auto"/>
              <w:jc w:val="both"/>
              <w:rPr>
                <w:rFonts w:cstheme="minorHAnsi"/>
              </w:rPr>
            </w:pPr>
            <w:r>
              <w:rPr>
                <w:rFonts w:cstheme="minorHAnsi"/>
              </w:rPr>
              <w:t>26</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5C18860D" w14:textId="610B2C2F" w:rsidR="000973E7" w:rsidRPr="00D638FB" w:rsidRDefault="000973E7" w:rsidP="000973E7">
            <w:pPr>
              <w:spacing w:line="276" w:lineRule="auto"/>
              <w:jc w:val="both"/>
              <w:rPr>
                <w:rFonts w:cstheme="minorHAnsi"/>
              </w:rPr>
            </w:pPr>
            <w:r w:rsidRPr="004B6096">
              <w:rPr>
                <w:rFonts w:cstheme="minorHAnsi"/>
              </w:rPr>
              <w:t>Hampton Manor</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33DB7C36" w14:textId="686A45EE" w:rsidR="000973E7" w:rsidRPr="00D638FB" w:rsidRDefault="000973E7" w:rsidP="000973E7">
            <w:pPr>
              <w:spacing w:line="276" w:lineRule="auto"/>
              <w:jc w:val="both"/>
              <w:rPr>
                <w:rFonts w:cstheme="minorHAnsi"/>
              </w:rPr>
            </w:pPr>
            <w:r w:rsidRPr="00D638FB">
              <w:rPr>
                <w:rFonts w:cstheme="minorHAnsi"/>
              </w:rPr>
              <w:t>Care home</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0638F525" w14:textId="35D9FE07" w:rsidR="000973E7" w:rsidRPr="00826421" w:rsidRDefault="00965BE4" w:rsidP="000973E7">
            <w:pPr>
              <w:spacing w:line="276" w:lineRule="auto"/>
              <w:jc w:val="both"/>
              <w:rPr>
                <w:rFonts w:cstheme="minorHAnsi"/>
              </w:rPr>
            </w:pPr>
            <w:r>
              <w:rPr>
                <w:rFonts w:cstheme="minorHAnsi"/>
              </w:rPr>
              <w:t>60 single rooms</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52213188" w14:textId="77777777" w:rsidR="000973E7" w:rsidRPr="00826421" w:rsidRDefault="000973E7" w:rsidP="000973E7">
            <w:pPr>
              <w:spacing w:line="276" w:lineRule="auto"/>
              <w:jc w:val="both"/>
              <w:rPr>
                <w:rFonts w:cstheme="minorHAnsi"/>
              </w:rPr>
            </w:pP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5E7604DF" w14:textId="77777777" w:rsidR="000973E7" w:rsidRPr="00826421" w:rsidRDefault="000973E7" w:rsidP="000973E7">
            <w:pPr>
              <w:spacing w:line="276" w:lineRule="auto"/>
              <w:jc w:val="both"/>
              <w:rPr>
                <w:rFonts w:cstheme="minorHAnsi"/>
              </w:rPr>
            </w:pPr>
          </w:p>
        </w:tc>
      </w:tr>
      <w:tr w:rsidR="000973E7" w:rsidRPr="00826421" w14:paraId="2736248C"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8E3FC8" w14:textId="6AAF7D9B" w:rsidR="000973E7" w:rsidRPr="00826421" w:rsidRDefault="000973E7" w:rsidP="000973E7">
            <w:pPr>
              <w:spacing w:line="276" w:lineRule="auto"/>
              <w:jc w:val="both"/>
              <w:rPr>
                <w:rFonts w:cstheme="minorHAnsi"/>
              </w:rPr>
            </w:pPr>
            <w:r>
              <w:rPr>
                <w:rFonts w:cstheme="minorHAnsi"/>
              </w:rPr>
              <w:t>27</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3331CD8C" w14:textId="766BDC0F" w:rsidR="000973E7" w:rsidRPr="00D638FB" w:rsidRDefault="000973E7" w:rsidP="000973E7">
            <w:pPr>
              <w:spacing w:line="276" w:lineRule="auto"/>
              <w:jc w:val="both"/>
              <w:rPr>
                <w:rFonts w:cstheme="minorHAnsi"/>
              </w:rPr>
            </w:pPr>
            <w:r w:rsidRPr="002F7693">
              <w:rPr>
                <w:rFonts w:cstheme="minorHAnsi"/>
              </w:rPr>
              <w:t>Brockwell Court Care Home</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18A7514C" w14:textId="18D59579" w:rsidR="000973E7" w:rsidRPr="00D638FB" w:rsidRDefault="000973E7" w:rsidP="000973E7">
            <w:pPr>
              <w:spacing w:line="276" w:lineRule="auto"/>
              <w:jc w:val="both"/>
              <w:rPr>
                <w:rFonts w:cstheme="minorHAnsi"/>
              </w:rPr>
            </w:pPr>
            <w:r w:rsidRPr="00D638FB">
              <w:rPr>
                <w:rFonts w:cstheme="minorHAnsi"/>
              </w:rPr>
              <w:t>Care home with nursing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65E6977D" w14:textId="200F764F" w:rsidR="000973E7" w:rsidRPr="00826421" w:rsidRDefault="007F007F" w:rsidP="000973E7">
            <w:pPr>
              <w:spacing w:line="276" w:lineRule="auto"/>
              <w:jc w:val="both"/>
              <w:rPr>
                <w:rFonts w:cstheme="minorHAnsi"/>
              </w:rPr>
            </w:pPr>
            <w:r>
              <w:rPr>
                <w:rFonts w:cstheme="minorHAnsi"/>
              </w:rPr>
              <w:t>75 single rooms</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5A4E902B" w14:textId="77777777" w:rsidR="000973E7" w:rsidRPr="00826421" w:rsidRDefault="000973E7" w:rsidP="000973E7">
            <w:pPr>
              <w:spacing w:line="276" w:lineRule="auto"/>
              <w:jc w:val="both"/>
              <w:rPr>
                <w:rFonts w:cstheme="minorHAnsi"/>
              </w:rPr>
            </w:pP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12FDA1D5" w14:textId="77777777" w:rsidR="000973E7" w:rsidRPr="00826421" w:rsidRDefault="000973E7" w:rsidP="000973E7">
            <w:pPr>
              <w:spacing w:line="276" w:lineRule="auto"/>
              <w:jc w:val="both"/>
              <w:rPr>
                <w:rFonts w:cstheme="minorHAnsi"/>
              </w:rPr>
            </w:pPr>
          </w:p>
        </w:tc>
      </w:tr>
      <w:tr w:rsidR="000973E7" w:rsidRPr="00826421" w14:paraId="76316B98"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E188EB" w14:textId="6CBB787C" w:rsidR="000973E7" w:rsidRPr="00826421" w:rsidRDefault="000973E7" w:rsidP="000973E7">
            <w:pPr>
              <w:spacing w:line="276" w:lineRule="auto"/>
              <w:jc w:val="both"/>
              <w:rPr>
                <w:rFonts w:cstheme="minorHAnsi"/>
              </w:rPr>
            </w:pPr>
            <w:r>
              <w:rPr>
                <w:rFonts w:cstheme="minorHAnsi"/>
              </w:rPr>
              <w:t>28</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484E6FEB" w14:textId="460B1C17" w:rsidR="000973E7" w:rsidRPr="00D638FB" w:rsidRDefault="000973E7" w:rsidP="000973E7">
            <w:pPr>
              <w:spacing w:line="276" w:lineRule="auto"/>
              <w:jc w:val="both"/>
              <w:rPr>
                <w:rFonts w:cstheme="minorHAnsi"/>
              </w:rPr>
            </w:pPr>
            <w:r w:rsidRPr="002F7693">
              <w:rPr>
                <w:rFonts w:cstheme="minorHAnsi"/>
              </w:rPr>
              <w:t>Rosemount</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04286E54" w14:textId="132229D5" w:rsidR="000973E7" w:rsidRPr="00D638FB" w:rsidRDefault="000973E7" w:rsidP="000973E7">
            <w:pPr>
              <w:spacing w:line="276" w:lineRule="auto"/>
              <w:jc w:val="both"/>
              <w:rPr>
                <w:rFonts w:cstheme="minorHAnsi"/>
              </w:rPr>
            </w:pPr>
            <w:r w:rsidRPr="00D638FB">
              <w:rPr>
                <w:rFonts w:cstheme="minorHAnsi"/>
              </w:rPr>
              <w:t>Care home</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1E1D4BD5" w14:textId="033CB242" w:rsidR="000973E7" w:rsidRPr="00826421" w:rsidRDefault="00063885" w:rsidP="000973E7">
            <w:pPr>
              <w:spacing w:line="276" w:lineRule="auto"/>
              <w:jc w:val="both"/>
              <w:rPr>
                <w:rFonts w:cstheme="minorHAnsi"/>
              </w:rPr>
            </w:pPr>
            <w:r>
              <w:rPr>
                <w:rFonts w:cstheme="minorHAnsi"/>
              </w:rPr>
              <w:t>16 single rooms</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64F2F083" w14:textId="77777777" w:rsidR="000973E7" w:rsidRPr="00826421" w:rsidRDefault="000973E7" w:rsidP="000973E7">
            <w:pPr>
              <w:spacing w:line="276" w:lineRule="auto"/>
              <w:jc w:val="both"/>
              <w:rPr>
                <w:rFonts w:cstheme="minorHAnsi"/>
              </w:rPr>
            </w:pP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5701AC07" w14:textId="77777777" w:rsidR="000973E7" w:rsidRPr="00826421" w:rsidRDefault="000973E7" w:rsidP="000973E7">
            <w:pPr>
              <w:spacing w:line="276" w:lineRule="auto"/>
              <w:jc w:val="both"/>
              <w:rPr>
                <w:rFonts w:cstheme="minorHAnsi"/>
              </w:rPr>
            </w:pPr>
          </w:p>
        </w:tc>
      </w:tr>
      <w:tr w:rsidR="000973E7" w:rsidRPr="00826421" w14:paraId="50444D96"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A78F2E" w14:textId="73574EED" w:rsidR="000973E7" w:rsidRPr="00826421" w:rsidRDefault="000973E7" w:rsidP="000973E7">
            <w:pPr>
              <w:spacing w:line="276" w:lineRule="auto"/>
              <w:jc w:val="both"/>
              <w:rPr>
                <w:rFonts w:cstheme="minorHAnsi"/>
              </w:rPr>
            </w:pPr>
            <w:r>
              <w:rPr>
                <w:rFonts w:cstheme="minorHAnsi"/>
              </w:rPr>
              <w:t>29</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482CA705" w14:textId="6FF8C830" w:rsidR="000973E7" w:rsidRPr="00D638FB" w:rsidRDefault="000973E7" w:rsidP="000973E7">
            <w:pPr>
              <w:spacing w:line="276" w:lineRule="auto"/>
              <w:jc w:val="both"/>
              <w:rPr>
                <w:rFonts w:cstheme="minorHAnsi"/>
              </w:rPr>
            </w:pPr>
            <w:r w:rsidRPr="002913CD">
              <w:rPr>
                <w:rFonts w:cstheme="minorHAnsi"/>
              </w:rPr>
              <w:t>Benfield Hall Care Home</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74104B19" w14:textId="7C7DF74C" w:rsidR="000973E7" w:rsidRPr="00D638FB" w:rsidRDefault="000973E7" w:rsidP="000973E7">
            <w:pPr>
              <w:spacing w:line="276" w:lineRule="auto"/>
              <w:jc w:val="both"/>
              <w:rPr>
                <w:rFonts w:cstheme="minorHAnsi"/>
              </w:rPr>
            </w:pPr>
            <w:r w:rsidRPr="00D638FB">
              <w:rPr>
                <w:rFonts w:cstheme="minorHAnsi"/>
              </w:rPr>
              <w:t>Care home with nursing</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301DE795" w14:textId="11069926" w:rsidR="000973E7" w:rsidRPr="00826421" w:rsidRDefault="007F007F" w:rsidP="000973E7">
            <w:pPr>
              <w:spacing w:line="276" w:lineRule="auto"/>
              <w:jc w:val="both"/>
              <w:rPr>
                <w:rFonts w:cstheme="minorHAnsi"/>
              </w:rPr>
            </w:pPr>
            <w:r>
              <w:rPr>
                <w:rFonts w:cstheme="minorHAnsi"/>
              </w:rPr>
              <w:t>20 single rooms</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064A0F62" w14:textId="77777777" w:rsidR="000973E7" w:rsidRPr="00826421" w:rsidRDefault="000973E7" w:rsidP="000973E7">
            <w:pPr>
              <w:spacing w:line="276" w:lineRule="auto"/>
              <w:jc w:val="both"/>
              <w:rPr>
                <w:rFonts w:cstheme="minorHAnsi"/>
              </w:rPr>
            </w:pP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623CC451" w14:textId="77777777" w:rsidR="000973E7" w:rsidRPr="00826421" w:rsidRDefault="000973E7" w:rsidP="000973E7">
            <w:pPr>
              <w:spacing w:line="276" w:lineRule="auto"/>
              <w:jc w:val="both"/>
              <w:rPr>
                <w:rFonts w:cstheme="minorHAnsi"/>
              </w:rPr>
            </w:pPr>
          </w:p>
        </w:tc>
      </w:tr>
      <w:tr w:rsidR="000973E7" w:rsidRPr="00826421" w14:paraId="51BB8ED9" w14:textId="77777777" w:rsidTr="00D638FB">
        <w:trPr>
          <w:trHeight w:val="414"/>
        </w:trPr>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E6053F" w14:textId="54C727F1" w:rsidR="000973E7" w:rsidRPr="00826421" w:rsidRDefault="000973E7" w:rsidP="000973E7">
            <w:pPr>
              <w:spacing w:line="276" w:lineRule="auto"/>
              <w:jc w:val="both"/>
              <w:rPr>
                <w:rFonts w:cstheme="minorHAnsi"/>
              </w:rPr>
            </w:pPr>
            <w:r>
              <w:rPr>
                <w:rFonts w:cstheme="minorHAnsi"/>
              </w:rPr>
              <w:t>30</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2264267B" w14:textId="32C231AA" w:rsidR="000973E7" w:rsidRPr="00D638FB" w:rsidRDefault="000973E7" w:rsidP="000973E7">
            <w:pPr>
              <w:spacing w:line="276" w:lineRule="auto"/>
              <w:jc w:val="both"/>
              <w:rPr>
                <w:rFonts w:cstheme="minorHAnsi"/>
              </w:rPr>
            </w:pPr>
            <w:r w:rsidRPr="002913CD">
              <w:rPr>
                <w:rFonts w:cstheme="minorHAnsi"/>
              </w:rPr>
              <w:t>St Mary's Convent</w:t>
            </w:r>
          </w:p>
        </w:tc>
        <w:tc>
          <w:tcPr>
            <w:tcW w:w="1383" w:type="pct"/>
            <w:tcBorders>
              <w:top w:val="single" w:sz="4" w:space="0" w:color="auto"/>
              <w:left w:val="nil"/>
              <w:bottom w:val="single" w:sz="4" w:space="0" w:color="auto"/>
              <w:right w:val="single" w:sz="4" w:space="0" w:color="auto"/>
            </w:tcBorders>
            <w:shd w:val="clear" w:color="auto" w:fill="auto"/>
            <w:noWrap/>
            <w:vAlign w:val="center"/>
          </w:tcPr>
          <w:p w14:paraId="7724FDB8" w14:textId="754E0D1D" w:rsidR="000973E7" w:rsidRPr="00D638FB" w:rsidRDefault="000973E7" w:rsidP="000973E7">
            <w:pPr>
              <w:spacing w:line="276" w:lineRule="auto"/>
              <w:jc w:val="both"/>
              <w:rPr>
                <w:rFonts w:cstheme="minorHAnsi"/>
              </w:rPr>
            </w:pPr>
            <w:r w:rsidRPr="00D638FB">
              <w:rPr>
                <w:rFonts w:cstheme="minorHAnsi"/>
              </w:rPr>
              <w:t>Care home</w:t>
            </w:r>
          </w:p>
        </w:tc>
        <w:tc>
          <w:tcPr>
            <w:tcW w:w="786" w:type="pct"/>
            <w:tcBorders>
              <w:top w:val="single" w:sz="4" w:space="0" w:color="auto"/>
              <w:left w:val="nil"/>
              <w:bottom w:val="single" w:sz="4" w:space="0" w:color="auto"/>
              <w:right w:val="single" w:sz="4" w:space="0" w:color="auto"/>
            </w:tcBorders>
            <w:shd w:val="clear" w:color="auto" w:fill="auto"/>
            <w:noWrap/>
            <w:vAlign w:val="center"/>
          </w:tcPr>
          <w:p w14:paraId="61266F28" w14:textId="53D6F9FB" w:rsidR="000973E7" w:rsidRPr="00826421" w:rsidRDefault="006A29B1" w:rsidP="000973E7">
            <w:pPr>
              <w:spacing w:line="276" w:lineRule="auto"/>
              <w:jc w:val="both"/>
              <w:rPr>
                <w:rFonts w:cstheme="minorHAnsi"/>
              </w:rPr>
            </w:pPr>
            <w:r>
              <w:rPr>
                <w:rFonts w:cstheme="minorHAnsi"/>
              </w:rPr>
              <w:t>18 single rooms</w:t>
            </w:r>
          </w:p>
        </w:tc>
        <w:tc>
          <w:tcPr>
            <w:tcW w:w="708" w:type="pct"/>
            <w:tcBorders>
              <w:top w:val="single" w:sz="4" w:space="0" w:color="auto"/>
              <w:left w:val="nil"/>
              <w:bottom w:val="single" w:sz="4" w:space="0" w:color="auto"/>
              <w:right w:val="single" w:sz="4" w:space="0" w:color="auto"/>
            </w:tcBorders>
            <w:shd w:val="clear" w:color="auto" w:fill="auto"/>
            <w:noWrap/>
            <w:vAlign w:val="center"/>
          </w:tcPr>
          <w:p w14:paraId="1A83405A" w14:textId="77777777" w:rsidR="000973E7" w:rsidRPr="00826421" w:rsidRDefault="000973E7" w:rsidP="000973E7">
            <w:pPr>
              <w:spacing w:line="276" w:lineRule="auto"/>
              <w:jc w:val="both"/>
              <w:rPr>
                <w:rFonts w:cstheme="minorHAnsi"/>
              </w:rPr>
            </w:pPr>
          </w:p>
        </w:tc>
        <w:tc>
          <w:tcPr>
            <w:tcW w:w="752" w:type="pct"/>
            <w:tcBorders>
              <w:top w:val="single" w:sz="4" w:space="0" w:color="auto"/>
              <w:left w:val="nil"/>
              <w:bottom w:val="single" w:sz="4" w:space="0" w:color="auto"/>
              <w:right w:val="single" w:sz="4" w:space="0" w:color="auto"/>
            </w:tcBorders>
            <w:shd w:val="clear" w:color="auto" w:fill="auto"/>
            <w:noWrap/>
            <w:vAlign w:val="center"/>
          </w:tcPr>
          <w:p w14:paraId="384888F9" w14:textId="77777777" w:rsidR="000973E7" w:rsidRPr="00826421" w:rsidRDefault="000973E7" w:rsidP="000973E7">
            <w:pPr>
              <w:spacing w:line="276" w:lineRule="auto"/>
              <w:jc w:val="both"/>
              <w:rPr>
                <w:rFonts w:cstheme="minorHAnsi"/>
              </w:rPr>
            </w:pPr>
          </w:p>
        </w:tc>
      </w:tr>
    </w:tbl>
    <w:p w14:paraId="39568793" w14:textId="16962CAB" w:rsidR="00201C53" w:rsidRDefault="00201C53" w:rsidP="00886038">
      <w:pPr>
        <w:pStyle w:val="Source"/>
        <w:jc w:val="both"/>
        <w:rPr>
          <w:lang w:val="en-US"/>
        </w:rPr>
      </w:pPr>
      <w:r w:rsidRPr="00826421">
        <w:rPr>
          <w:lang w:val="en-US"/>
        </w:rPr>
        <w:t xml:space="preserve">Source: </w:t>
      </w:r>
      <w:hyperlink r:id="rId34" w:history="1">
        <w:r w:rsidRPr="00A7444A">
          <w:rPr>
            <w:rStyle w:val="Hyperlink"/>
            <w:lang w:val="en-US"/>
          </w:rPr>
          <w:t>http://</w:t>
        </w:r>
        <w:r w:rsidR="00B35E81">
          <w:rPr>
            <w:rStyle w:val="Hyperlink"/>
            <w:lang w:val="en-US"/>
          </w:rPr>
          <w:t>25</w:t>
        </w:r>
        <w:r w:rsidRPr="00A7444A">
          <w:rPr>
            <w:rStyle w:val="Hyperlink"/>
            <w:lang w:val="en-US"/>
          </w:rPr>
          <w:t>www.housingcare.org</w:t>
        </w:r>
      </w:hyperlink>
    </w:p>
    <w:p w14:paraId="479BE56C" w14:textId="73536958" w:rsidR="00201C53" w:rsidRPr="009E1BB6" w:rsidRDefault="00201C53" w:rsidP="00252C91">
      <w:pPr>
        <w:pStyle w:val="Caption"/>
        <w:jc w:val="both"/>
        <w:rPr>
          <w:color w:val="auto"/>
        </w:rPr>
      </w:pPr>
      <w:bookmarkStart w:id="237" w:name="_Ref74241722"/>
      <w:r w:rsidRPr="00886038">
        <w:rPr>
          <w:color w:val="auto"/>
        </w:rPr>
        <w:t>Tabl</w:t>
      </w:r>
      <w:bookmarkEnd w:id="237"/>
      <w:r w:rsidRPr="00886038">
        <w:rPr>
          <w:color w:val="auto"/>
        </w:rPr>
        <w:t xml:space="preserve">e E-2: Tenure and mobility limitations of those aged 65+ in </w:t>
      </w:r>
      <w:r w:rsidR="00D143F2" w:rsidRPr="00886038">
        <w:rPr>
          <w:color w:val="auto"/>
        </w:rPr>
        <w:t>Consett</w:t>
      </w:r>
      <w:r w:rsidRPr="00886038">
        <w:rPr>
          <w:color w:val="auto"/>
        </w:rPr>
        <w:t>, 2011 (65+ is the closest proxy for</w:t>
      </w:r>
      <w:r w:rsidRPr="009E1BB6">
        <w:rPr>
          <w:color w:val="auto"/>
        </w:rPr>
        <w:t xml:space="preserve"> 75+ in this data)</w:t>
      </w:r>
    </w:p>
    <w:tbl>
      <w:tblPr>
        <w:tblW w:w="496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12"/>
        <w:gridCol w:w="1112"/>
        <w:gridCol w:w="1113"/>
        <w:gridCol w:w="1113"/>
        <w:gridCol w:w="1113"/>
        <w:gridCol w:w="1111"/>
      </w:tblGrid>
      <w:tr w:rsidR="00201C53" w:rsidRPr="00826421" w14:paraId="3E0049DD" w14:textId="77777777" w:rsidTr="00886038">
        <w:trPr>
          <w:trHeight w:val="491"/>
        </w:trPr>
        <w:tc>
          <w:tcPr>
            <w:tcW w:w="1581" w:type="pct"/>
            <w:shd w:val="clear" w:color="auto" w:fill="000000" w:themeFill="text1"/>
            <w:vAlign w:val="center"/>
          </w:tcPr>
          <w:p w14:paraId="42BD43F7" w14:textId="77777777" w:rsidR="00201C53" w:rsidRPr="00826421" w:rsidRDefault="00201C53" w:rsidP="00252C91">
            <w:pPr>
              <w:spacing w:line="276" w:lineRule="auto"/>
              <w:jc w:val="both"/>
              <w:rPr>
                <w:b/>
                <w:color w:val="FFFFFF" w:themeColor="background1"/>
              </w:rPr>
            </w:pPr>
            <w:r w:rsidRPr="00826421">
              <w:rPr>
                <w:b/>
                <w:color w:val="FFFFFF" w:themeColor="background1"/>
              </w:rPr>
              <w:t>Tenure</w:t>
            </w:r>
          </w:p>
        </w:tc>
        <w:tc>
          <w:tcPr>
            <w:tcW w:w="1140" w:type="pct"/>
            <w:gridSpan w:val="2"/>
            <w:shd w:val="clear" w:color="auto" w:fill="000000" w:themeFill="text1"/>
            <w:vAlign w:val="center"/>
          </w:tcPr>
          <w:p w14:paraId="71E52B80" w14:textId="77777777" w:rsidR="00201C53" w:rsidRPr="00826421" w:rsidRDefault="00201C53" w:rsidP="00252C91">
            <w:pPr>
              <w:spacing w:line="276" w:lineRule="auto"/>
              <w:jc w:val="both"/>
              <w:rPr>
                <w:b/>
                <w:color w:val="FFFFFF" w:themeColor="background1"/>
              </w:rPr>
            </w:pPr>
            <w:r w:rsidRPr="00826421">
              <w:rPr>
                <w:b/>
                <w:color w:val="FFFFFF" w:themeColor="background1"/>
              </w:rPr>
              <w:t>Day-to-day activities limited a lot</w:t>
            </w:r>
          </w:p>
        </w:tc>
        <w:tc>
          <w:tcPr>
            <w:tcW w:w="1140" w:type="pct"/>
            <w:gridSpan w:val="2"/>
            <w:shd w:val="clear" w:color="auto" w:fill="000000" w:themeFill="text1"/>
            <w:vAlign w:val="center"/>
          </w:tcPr>
          <w:p w14:paraId="7FC2C65B" w14:textId="77777777" w:rsidR="00201C53" w:rsidRPr="00826421" w:rsidRDefault="00201C53" w:rsidP="00252C91">
            <w:pPr>
              <w:spacing w:line="276" w:lineRule="auto"/>
              <w:jc w:val="both"/>
              <w:rPr>
                <w:b/>
                <w:color w:val="FFFFFF" w:themeColor="background1"/>
              </w:rPr>
            </w:pPr>
            <w:r w:rsidRPr="00826421">
              <w:rPr>
                <w:b/>
                <w:color w:val="FFFFFF" w:themeColor="background1"/>
              </w:rPr>
              <w:t>Day-to-day activities limited a little</w:t>
            </w:r>
          </w:p>
        </w:tc>
        <w:tc>
          <w:tcPr>
            <w:tcW w:w="1139" w:type="pct"/>
            <w:gridSpan w:val="2"/>
            <w:shd w:val="clear" w:color="auto" w:fill="000000" w:themeFill="text1"/>
            <w:vAlign w:val="center"/>
          </w:tcPr>
          <w:p w14:paraId="6E4090CF" w14:textId="77777777" w:rsidR="00201C53" w:rsidRPr="00826421" w:rsidRDefault="00201C53" w:rsidP="00252C91">
            <w:pPr>
              <w:spacing w:line="276" w:lineRule="auto"/>
              <w:jc w:val="both"/>
              <w:rPr>
                <w:b/>
                <w:color w:val="FFFFFF" w:themeColor="background1"/>
              </w:rPr>
            </w:pPr>
            <w:r w:rsidRPr="00826421">
              <w:rPr>
                <w:b/>
                <w:color w:val="FFFFFF" w:themeColor="background1"/>
              </w:rPr>
              <w:t>Day-to-day activities not limited</w:t>
            </w:r>
          </w:p>
        </w:tc>
      </w:tr>
      <w:tr w:rsidR="00063645" w:rsidRPr="00826421" w14:paraId="762ADC8D" w14:textId="77777777" w:rsidTr="00886038">
        <w:trPr>
          <w:trHeight w:val="570"/>
        </w:trPr>
        <w:tc>
          <w:tcPr>
            <w:tcW w:w="1581" w:type="pct"/>
            <w:shd w:val="clear" w:color="auto" w:fill="auto"/>
            <w:vAlign w:val="center"/>
            <w:hideMark/>
          </w:tcPr>
          <w:p w14:paraId="2C1E7615" w14:textId="77777777" w:rsidR="00063645" w:rsidRPr="00826421" w:rsidRDefault="00063645" w:rsidP="00063645">
            <w:pPr>
              <w:spacing w:line="276" w:lineRule="auto"/>
              <w:jc w:val="both"/>
              <w:rPr>
                <w:b/>
              </w:rPr>
            </w:pPr>
            <w:r w:rsidRPr="00826421">
              <w:rPr>
                <w:b/>
              </w:rPr>
              <w:t>All categories</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27A4D275" w14:textId="3DC3B4E4" w:rsidR="00063645" w:rsidRPr="00826421" w:rsidRDefault="00063645" w:rsidP="00063645">
            <w:pPr>
              <w:spacing w:line="276" w:lineRule="auto"/>
              <w:jc w:val="both"/>
              <w:rPr>
                <w:b/>
              </w:rPr>
            </w:pPr>
            <w:r>
              <w:rPr>
                <w:rFonts w:ascii="Arial" w:hAnsi="Arial" w:cs="Arial"/>
                <w:b/>
                <w:bCs/>
                <w:color w:val="000000"/>
                <w:sz w:val="22"/>
                <w:szCs w:val="22"/>
              </w:rPr>
              <w:t>1,921</w:t>
            </w:r>
          </w:p>
        </w:tc>
        <w:tc>
          <w:tcPr>
            <w:tcW w:w="570" w:type="pct"/>
            <w:tcBorders>
              <w:top w:val="single" w:sz="4" w:space="0" w:color="auto"/>
              <w:left w:val="nil"/>
              <w:bottom w:val="single" w:sz="4" w:space="0" w:color="auto"/>
              <w:right w:val="single" w:sz="4" w:space="0" w:color="auto"/>
            </w:tcBorders>
            <w:shd w:val="clear" w:color="auto" w:fill="auto"/>
            <w:vAlign w:val="center"/>
          </w:tcPr>
          <w:p w14:paraId="792A8946" w14:textId="3C289C40" w:rsidR="00063645" w:rsidRPr="00826421" w:rsidRDefault="00063645" w:rsidP="00063645">
            <w:pPr>
              <w:spacing w:line="276" w:lineRule="auto"/>
              <w:jc w:val="both"/>
              <w:rPr>
                <w:b/>
              </w:rPr>
            </w:pPr>
            <w:r>
              <w:rPr>
                <w:rFonts w:ascii="Arial" w:hAnsi="Arial" w:cs="Arial"/>
                <w:b/>
                <w:bCs/>
                <w:color w:val="000000"/>
                <w:sz w:val="22"/>
                <w:szCs w:val="22"/>
              </w:rPr>
              <w:t>31.2%</w:t>
            </w:r>
          </w:p>
        </w:tc>
        <w:tc>
          <w:tcPr>
            <w:tcW w:w="570" w:type="pct"/>
            <w:tcBorders>
              <w:top w:val="single" w:sz="4" w:space="0" w:color="auto"/>
              <w:left w:val="nil"/>
              <w:bottom w:val="single" w:sz="4" w:space="0" w:color="auto"/>
              <w:right w:val="single" w:sz="4" w:space="0" w:color="auto"/>
            </w:tcBorders>
            <w:shd w:val="clear" w:color="auto" w:fill="auto"/>
            <w:vAlign w:val="center"/>
          </w:tcPr>
          <w:p w14:paraId="6FE13A2A" w14:textId="6236EB16" w:rsidR="00063645" w:rsidRPr="00826421" w:rsidRDefault="00063645" w:rsidP="00063645">
            <w:pPr>
              <w:spacing w:line="276" w:lineRule="auto"/>
              <w:jc w:val="both"/>
              <w:rPr>
                <w:b/>
              </w:rPr>
            </w:pPr>
            <w:r>
              <w:rPr>
                <w:rFonts w:ascii="Arial" w:hAnsi="Arial" w:cs="Arial"/>
                <w:b/>
                <w:bCs/>
                <w:color w:val="000000"/>
                <w:sz w:val="22"/>
                <w:szCs w:val="22"/>
              </w:rPr>
              <w:t>1,806</w:t>
            </w:r>
          </w:p>
        </w:tc>
        <w:tc>
          <w:tcPr>
            <w:tcW w:w="570" w:type="pct"/>
            <w:tcBorders>
              <w:top w:val="single" w:sz="4" w:space="0" w:color="auto"/>
              <w:left w:val="nil"/>
              <w:bottom w:val="single" w:sz="4" w:space="0" w:color="auto"/>
              <w:right w:val="single" w:sz="4" w:space="0" w:color="auto"/>
            </w:tcBorders>
            <w:shd w:val="clear" w:color="auto" w:fill="auto"/>
            <w:vAlign w:val="center"/>
          </w:tcPr>
          <w:p w14:paraId="2E81414A" w14:textId="555357F6" w:rsidR="00063645" w:rsidRPr="00826421" w:rsidRDefault="00063645" w:rsidP="00063645">
            <w:pPr>
              <w:spacing w:line="276" w:lineRule="auto"/>
              <w:jc w:val="both"/>
              <w:rPr>
                <w:b/>
              </w:rPr>
            </w:pPr>
            <w:r>
              <w:rPr>
                <w:rFonts w:ascii="Arial" w:hAnsi="Arial" w:cs="Arial"/>
                <w:b/>
                <w:bCs/>
                <w:color w:val="000000"/>
                <w:sz w:val="22"/>
                <w:szCs w:val="22"/>
              </w:rPr>
              <w:t>29.4%</w:t>
            </w:r>
          </w:p>
        </w:tc>
        <w:tc>
          <w:tcPr>
            <w:tcW w:w="570" w:type="pct"/>
            <w:tcBorders>
              <w:top w:val="single" w:sz="4" w:space="0" w:color="auto"/>
              <w:left w:val="nil"/>
              <w:bottom w:val="single" w:sz="4" w:space="0" w:color="auto"/>
              <w:right w:val="single" w:sz="4" w:space="0" w:color="auto"/>
            </w:tcBorders>
            <w:shd w:val="clear" w:color="auto" w:fill="auto"/>
            <w:vAlign w:val="center"/>
          </w:tcPr>
          <w:p w14:paraId="2FB27A3E" w14:textId="4CD30319" w:rsidR="00063645" w:rsidRPr="00826421" w:rsidRDefault="00063645" w:rsidP="00063645">
            <w:pPr>
              <w:spacing w:line="276" w:lineRule="auto"/>
              <w:jc w:val="both"/>
              <w:rPr>
                <w:b/>
              </w:rPr>
            </w:pPr>
            <w:r>
              <w:rPr>
                <w:rFonts w:ascii="Arial" w:hAnsi="Arial" w:cs="Arial"/>
                <w:b/>
                <w:bCs/>
                <w:color w:val="000000"/>
                <w:sz w:val="22"/>
                <w:szCs w:val="22"/>
              </w:rPr>
              <w:t>2,424</w:t>
            </w:r>
          </w:p>
        </w:tc>
        <w:tc>
          <w:tcPr>
            <w:tcW w:w="569" w:type="pct"/>
            <w:tcBorders>
              <w:top w:val="single" w:sz="4" w:space="0" w:color="auto"/>
              <w:left w:val="nil"/>
              <w:bottom w:val="single" w:sz="4" w:space="0" w:color="auto"/>
              <w:right w:val="single" w:sz="4" w:space="0" w:color="auto"/>
            </w:tcBorders>
            <w:shd w:val="clear" w:color="auto" w:fill="auto"/>
            <w:vAlign w:val="center"/>
          </w:tcPr>
          <w:p w14:paraId="6D086580" w14:textId="3DAECDCA" w:rsidR="00063645" w:rsidRPr="00826421" w:rsidRDefault="00063645" w:rsidP="00063645">
            <w:pPr>
              <w:spacing w:line="276" w:lineRule="auto"/>
              <w:jc w:val="both"/>
              <w:rPr>
                <w:b/>
              </w:rPr>
            </w:pPr>
            <w:r>
              <w:rPr>
                <w:rFonts w:ascii="Arial" w:hAnsi="Arial" w:cs="Arial"/>
                <w:b/>
                <w:bCs/>
                <w:color w:val="000000"/>
                <w:sz w:val="22"/>
                <w:szCs w:val="22"/>
              </w:rPr>
              <w:t>39.4%</w:t>
            </w:r>
          </w:p>
        </w:tc>
      </w:tr>
      <w:tr w:rsidR="00063645" w:rsidRPr="00826421" w14:paraId="443C0E32" w14:textId="77777777" w:rsidTr="00886038">
        <w:trPr>
          <w:trHeight w:val="570"/>
        </w:trPr>
        <w:tc>
          <w:tcPr>
            <w:tcW w:w="1581" w:type="pct"/>
            <w:shd w:val="clear" w:color="auto" w:fill="auto"/>
            <w:vAlign w:val="center"/>
            <w:hideMark/>
          </w:tcPr>
          <w:p w14:paraId="655C1391" w14:textId="77777777" w:rsidR="00063645" w:rsidRPr="00826421" w:rsidRDefault="00063645" w:rsidP="00063645">
            <w:pPr>
              <w:spacing w:line="276" w:lineRule="auto"/>
              <w:jc w:val="both"/>
              <w:rPr>
                <w:b/>
                <w:i/>
              </w:rPr>
            </w:pPr>
            <w:r w:rsidRPr="00826421">
              <w:rPr>
                <w:b/>
                <w:i/>
              </w:rPr>
              <w:t>Owned Total</w:t>
            </w:r>
          </w:p>
        </w:tc>
        <w:tc>
          <w:tcPr>
            <w:tcW w:w="570" w:type="pct"/>
            <w:tcBorders>
              <w:top w:val="nil"/>
              <w:left w:val="single" w:sz="4" w:space="0" w:color="auto"/>
              <w:bottom w:val="single" w:sz="4" w:space="0" w:color="auto"/>
              <w:right w:val="single" w:sz="4" w:space="0" w:color="auto"/>
            </w:tcBorders>
            <w:shd w:val="clear" w:color="auto" w:fill="auto"/>
            <w:vAlign w:val="center"/>
          </w:tcPr>
          <w:p w14:paraId="186795BE" w14:textId="4BBB795E" w:rsidR="00063645" w:rsidRPr="00826421" w:rsidRDefault="00063645" w:rsidP="00063645">
            <w:pPr>
              <w:spacing w:line="276" w:lineRule="auto"/>
              <w:jc w:val="both"/>
              <w:rPr>
                <w:b/>
                <w:i/>
              </w:rPr>
            </w:pPr>
            <w:r>
              <w:rPr>
                <w:rFonts w:ascii="Arial" w:hAnsi="Arial" w:cs="Arial"/>
                <w:b/>
                <w:bCs/>
                <w:color w:val="000000"/>
                <w:sz w:val="22"/>
                <w:szCs w:val="22"/>
              </w:rPr>
              <w:t>1,283</w:t>
            </w:r>
          </w:p>
        </w:tc>
        <w:tc>
          <w:tcPr>
            <w:tcW w:w="570" w:type="pct"/>
            <w:tcBorders>
              <w:top w:val="nil"/>
              <w:left w:val="nil"/>
              <w:bottom w:val="single" w:sz="4" w:space="0" w:color="auto"/>
              <w:right w:val="single" w:sz="4" w:space="0" w:color="auto"/>
            </w:tcBorders>
            <w:shd w:val="clear" w:color="auto" w:fill="auto"/>
            <w:vAlign w:val="center"/>
          </w:tcPr>
          <w:p w14:paraId="58E85B5C" w14:textId="175322BA" w:rsidR="00063645" w:rsidRPr="00826421" w:rsidRDefault="00063645" w:rsidP="00063645">
            <w:pPr>
              <w:spacing w:line="276" w:lineRule="auto"/>
              <w:jc w:val="both"/>
              <w:rPr>
                <w:b/>
                <w:i/>
              </w:rPr>
            </w:pPr>
            <w:r>
              <w:rPr>
                <w:rFonts w:ascii="Arial" w:hAnsi="Arial" w:cs="Arial"/>
                <w:b/>
                <w:bCs/>
                <w:i/>
                <w:iCs/>
                <w:color w:val="000000"/>
                <w:sz w:val="22"/>
                <w:szCs w:val="22"/>
              </w:rPr>
              <w:t>27.6%</w:t>
            </w:r>
          </w:p>
        </w:tc>
        <w:tc>
          <w:tcPr>
            <w:tcW w:w="570" w:type="pct"/>
            <w:tcBorders>
              <w:top w:val="nil"/>
              <w:left w:val="nil"/>
              <w:bottom w:val="single" w:sz="4" w:space="0" w:color="auto"/>
              <w:right w:val="single" w:sz="4" w:space="0" w:color="auto"/>
            </w:tcBorders>
            <w:shd w:val="clear" w:color="auto" w:fill="auto"/>
            <w:vAlign w:val="center"/>
          </w:tcPr>
          <w:p w14:paraId="6505C13F" w14:textId="0C5CBE47" w:rsidR="00063645" w:rsidRPr="00826421" w:rsidRDefault="00063645" w:rsidP="00063645">
            <w:pPr>
              <w:spacing w:line="276" w:lineRule="auto"/>
              <w:jc w:val="both"/>
              <w:rPr>
                <w:b/>
                <w:i/>
              </w:rPr>
            </w:pPr>
            <w:r>
              <w:rPr>
                <w:rFonts w:ascii="Arial" w:hAnsi="Arial" w:cs="Arial"/>
                <w:b/>
                <w:bCs/>
                <w:color w:val="000000"/>
                <w:sz w:val="22"/>
                <w:szCs w:val="22"/>
              </w:rPr>
              <w:t>1,341</w:t>
            </w:r>
          </w:p>
        </w:tc>
        <w:tc>
          <w:tcPr>
            <w:tcW w:w="570" w:type="pct"/>
            <w:tcBorders>
              <w:top w:val="nil"/>
              <w:left w:val="nil"/>
              <w:bottom w:val="single" w:sz="4" w:space="0" w:color="auto"/>
              <w:right w:val="single" w:sz="4" w:space="0" w:color="auto"/>
            </w:tcBorders>
            <w:shd w:val="clear" w:color="auto" w:fill="auto"/>
            <w:vAlign w:val="center"/>
          </w:tcPr>
          <w:p w14:paraId="28D36C26" w14:textId="589E7138" w:rsidR="00063645" w:rsidRPr="00826421" w:rsidRDefault="00063645" w:rsidP="00063645">
            <w:pPr>
              <w:spacing w:line="276" w:lineRule="auto"/>
              <w:jc w:val="both"/>
              <w:rPr>
                <w:b/>
                <w:i/>
              </w:rPr>
            </w:pPr>
            <w:r>
              <w:rPr>
                <w:rFonts w:ascii="Arial" w:hAnsi="Arial" w:cs="Arial"/>
                <w:b/>
                <w:bCs/>
                <w:i/>
                <w:iCs/>
                <w:color w:val="000000"/>
                <w:sz w:val="22"/>
                <w:szCs w:val="22"/>
              </w:rPr>
              <w:t>28.8%</w:t>
            </w:r>
          </w:p>
        </w:tc>
        <w:tc>
          <w:tcPr>
            <w:tcW w:w="570" w:type="pct"/>
            <w:tcBorders>
              <w:top w:val="nil"/>
              <w:left w:val="nil"/>
              <w:bottom w:val="single" w:sz="4" w:space="0" w:color="auto"/>
              <w:right w:val="single" w:sz="4" w:space="0" w:color="auto"/>
            </w:tcBorders>
            <w:shd w:val="clear" w:color="auto" w:fill="auto"/>
            <w:vAlign w:val="center"/>
          </w:tcPr>
          <w:p w14:paraId="51E8B49C" w14:textId="790936C1" w:rsidR="00063645" w:rsidRPr="00826421" w:rsidRDefault="00063645" w:rsidP="00063645">
            <w:pPr>
              <w:spacing w:line="276" w:lineRule="auto"/>
              <w:jc w:val="both"/>
              <w:rPr>
                <w:b/>
                <w:i/>
              </w:rPr>
            </w:pPr>
            <w:r>
              <w:rPr>
                <w:rFonts w:ascii="Arial" w:hAnsi="Arial" w:cs="Arial"/>
                <w:b/>
                <w:bCs/>
                <w:color w:val="000000"/>
                <w:sz w:val="22"/>
                <w:szCs w:val="22"/>
              </w:rPr>
              <w:t>2,032</w:t>
            </w:r>
          </w:p>
        </w:tc>
        <w:tc>
          <w:tcPr>
            <w:tcW w:w="569" w:type="pct"/>
            <w:tcBorders>
              <w:top w:val="nil"/>
              <w:left w:val="nil"/>
              <w:bottom w:val="single" w:sz="4" w:space="0" w:color="auto"/>
              <w:right w:val="single" w:sz="4" w:space="0" w:color="auto"/>
            </w:tcBorders>
            <w:shd w:val="clear" w:color="auto" w:fill="auto"/>
            <w:vAlign w:val="center"/>
          </w:tcPr>
          <w:p w14:paraId="6765B776" w14:textId="52FC0595" w:rsidR="00063645" w:rsidRPr="00826421" w:rsidRDefault="00063645" w:rsidP="00063645">
            <w:pPr>
              <w:spacing w:line="276" w:lineRule="auto"/>
              <w:jc w:val="both"/>
              <w:rPr>
                <w:b/>
                <w:i/>
              </w:rPr>
            </w:pPr>
            <w:r>
              <w:rPr>
                <w:rFonts w:ascii="Arial" w:hAnsi="Arial" w:cs="Arial"/>
                <w:b/>
                <w:bCs/>
                <w:i/>
                <w:iCs/>
                <w:color w:val="000000"/>
                <w:sz w:val="22"/>
                <w:szCs w:val="22"/>
              </w:rPr>
              <w:t>43.6%</w:t>
            </w:r>
          </w:p>
        </w:tc>
      </w:tr>
      <w:tr w:rsidR="00063645" w:rsidRPr="00826421" w14:paraId="02A47CF5" w14:textId="77777777" w:rsidTr="00886038">
        <w:trPr>
          <w:trHeight w:val="570"/>
        </w:trPr>
        <w:tc>
          <w:tcPr>
            <w:tcW w:w="1581" w:type="pct"/>
            <w:shd w:val="clear" w:color="auto" w:fill="auto"/>
            <w:vAlign w:val="center"/>
            <w:hideMark/>
          </w:tcPr>
          <w:p w14:paraId="4EF97652" w14:textId="77777777" w:rsidR="00063645" w:rsidRPr="00826421" w:rsidRDefault="00063645" w:rsidP="00063645">
            <w:pPr>
              <w:spacing w:line="276" w:lineRule="auto"/>
              <w:jc w:val="both"/>
            </w:pPr>
            <w:r w:rsidRPr="00826421">
              <w:t>Owned outright</w:t>
            </w:r>
          </w:p>
        </w:tc>
        <w:tc>
          <w:tcPr>
            <w:tcW w:w="570" w:type="pct"/>
            <w:tcBorders>
              <w:top w:val="nil"/>
              <w:left w:val="single" w:sz="4" w:space="0" w:color="auto"/>
              <w:bottom w:val="single" w:sz="4" w:space="0" w:color="auto"/>
              <w:right w:val="single" w:sz="4" w:space="0" w:color="auto"/>
            </w:tcBorders>
            <w:shd w:val="clear" w:color="auto" w:fill="auto"/>
            <w:vAlign w:val="center"/>
          </w:tcPr>
          <w:p w14:paraId="533CFFAE" w14:textId="25741C86" w:rsidR="00063645" w:rsidRPr="00826421" w:rsidRDefault="00063645" w:rsidP="00063645">
            <w:pPr>
              <w:spacing w:line="276" w:lineRule="auto"/>
              <w:jc w:val="both"/>
            </w:pPr>
            <w:r>
              <w:rPr>
                <w:rFonts w:ascii="Arial" w:hAnsi="Arial" w:cs="Arial"/>
                <w:b/>
                <w:bCs/>
                <w:color w:val="000000"/>
                <w:sz w:val="22"/>
                <w:szCs w:val="22"/>
              </w:rPr>
              <w:t>1,114</w:t>
            </w:r>
          </w:p>
        </w:tc>
        <w:tc>
          <w:tcPr>
            <w:tcW w:w="570" w:type="pct"/>
            <w:tcBorders>
              <w:top w:val="nil"/>
              <w:left w:val="nil"/>
              <w:bottom w:val="single" w:sz="4" w:space="0" w:color="auto"/>
              <w:right w:val="single" w:sz="4" w:space="0" w:color="auto"/>
            </w:tcBorders>
            <w:shd w:val="clear" w:color="auto" w:fill="auto"/>
            <w:vAlign w:val="center"/>
          </w:tcPr>
          <w:p w14:paraId="66299285" w14:textId="58CC30D7" w:rsidR="00063645" w:rsidRPr="00826421" w:rsidRDefault="00063645" w:rsidP="00063645">
            <w:pPr>
              <w:spacing w:line="276" w:lineRule="auto"/>
              <w:jc w:val="both"/>
            </w:pPr>
            <w:r>
              <w:rPr>
                <w:rFonts w:ascii="Arial" w:hAnsi="Arial" w:cs="Arial"/>
                <w:color w:val="000000"/>
                <w:sz w:val="22"/>
                <w:szCs w:val="22"/>
              </w:rPr>
              <w:t>27.1%</w:t>
            </w:r>
          </w:p>
        </w:tc>
        <w:tc>
          <w:tcPr>
            <w:tcW w:w="570" w:type="pct"/>
            <w:tcBorders>
              <w:top w:val="nil"/>
              <w:left w:val="nil"/>
              <w:bottom w:val="single" w:sz="4" w:space="0" w:color="auto"/>
              <w:right w:val="single" w:sz="4" w:space="0" w:color="auto"/>
            </w:tcBorders>
            <w:shd w:val="clear" w:color="auto" w:fill="auto"/>
            <w:vAlign w:val="center"/>
          </w:tcPr>
          <w:p w14:paraId="63E6F020" w14:textId="73F765A7" w:rsidR="00063645" w:rsidRPr="00826421" w:rsidRDefault="00063645" w:rsidP="00063645">
            <w:pPr>
              <w:spacing w:line="276" w:lineRule="auto"/>
              <w:jc w:val="both"/>
            </w:pPr>
            <w:r>
              <w:rPr>
                <w:rFonts w:ascii="Arial" w:hAnsi="Arial" w:cs="Arial"/>
                <w:b/>
                <w:bCs/>
                <w:color w:val="000000"/>
                <w:sz w:val="22"/>
                <w:szCs w:val="22"/>
              </w:rPr>
              <w:t>1,194</w:t>
            </w:r>
          </w:p>
        </w:tc>
        <w:tc>
          <w:tcPr>
            <w:tcW w:w="570" w:type="pct"/>
            <w:tcBorders>
              <w:top w:val="nil"/>
              <w:left w:val="nil"/>
              <w:bottom w:val="single" w:sz="4" w:space="0" w:color="auto"/>
              <w:right w:val="single" w:sz="4" w:space="0" w:color="auto"/>
            </w:tcBorders>
            <w:shd w:val="clear" w:color="auto" w:fill="auto"/>
            <w:vAlign w:val="center"/>
          </w:tcPr>
          <w:p w14:paraId="2D96E679" w14:textId="265C29AE" w:rsidR="00063645" w:rsidRPr="00826421" w:rsidRDefault="00063645" w:rsidP="00063645">
            <w:pPr>
              <w:spacing w:line="276" w:lineRule="auto"/>
              <w:jc w:val="both"/>
            </w:pPr>
            <w:r>
              <w:rPr>
                <w:rFonts w:ascii="Arial" w:hAnsi="Arial" w:cs="Arial"/>
                <w:color w:val="000000"/>
                <w:sz w:val="22"/>
                <w:szCs w:val="22"/>
              </w:rPr>
              <w:t>29.0%</w:t>
            </w:r>
          </w:p>
        </w:tc>
        <w:tc>
          <w:tcPr>
            <w:tcW w:w="570" w:type="pct"/>
            <w:tcBorders>
              <w:top w:val="nil"/>
              <w:left w:val="nil"/>
              <w:bottom w:val="single" w:sz="4" w:space="0" w:color="auto"/>
              <w:right w:val="single" w:sz="4" w:space="0" w:color="auto"/>
            </w:tcBorders>
            <w:shd w:val="clear" w:color="auto" w:fill="auto"/>
            <w:vAlign w:val="center"/>
          </w:tcPr>
          <w:p w14:paraId="11148A8C" w14:textId="7CEB6672" w:rsidR="00063645" w:rsidRPr="00826421" w:rsidRDefault="00063645" w:rsidP="00063645">
            <w:pPr>
              <w:spacing w:line="276" w:lineRule="auto"/>
              <w:jc w:val="both"/>
            </w:pPr>
            <w:r>
              <w:rPr>
                <w:rFonts w:ascii="Arial" w:hAnsi="Arial" w:cs="Arial"/>
                <w:b/>
                <w:bCs/>
                <w:color w:val="000000"/>
                <w:sz w:val="22"/>
                <w:szCs w:val="22"/>
              </w:rPr>
              <w:t>1,809</w:t>
            </w:r>
          </w:p>
        </w:tc>
        <w:tc>
          <w:tcPr>
            <w:tcW w:w="569" w:type="pct"/>
            <w:tcBorders>
              <w:top w:val="nil"/>
              <w:left w:val="nil"/>
              <w:bottom w:val="single" w:sz="4" w:space="0" w:color="auto"/>
              <w:right w:val="single" w:sz="4" w:space="0" w:color="auto"/>
            </w:tcBorders>
            <w:shd w:val="clear" w:color="auto" w:fill="auto"/>
            <w:vAlign w:val="center"/>
          </w:tcPr>
          <w:p w14:paraId="5C13E77D" w14:textId="65233836" w:rsidR="00063645" w:rsidRPr="00826421" w:rsidRDefault="00063645" w:rsidP="00063645">
            <w:pPr>
              <w:spacing w:line="276" w:lineRule="auto"/>
              <w:jc w:val="both"/>
            </w:pPr>
            <w:r>
              <w:rPr>
                <w:rFonts w:ascii="Arial" w:hAnsi="Arial" w:cs="Arial"/>
                <w:color w:val="000000"/>
                <w:sz w:val="22"/>
                <w:szCs w:val="22"/>
              </w:rPr>
              <w:t>43.9%</w:t>
            </w:r>
          </w:p>
        </w:tc>
      </w:tr>
      <w:tr w:rsidR="00063645" w:rsidRPr="00826421" w14:paraId="5EAB524F" w14:textId="77777777" w:rsidTr="00886038">
        <w:trPr>
          <w:trHeight w:val="570"/>
        </w:trPr>
        <w:tc>
          <w:tcPr>
            <w:tcW w:w="1581" w:type="pct"/>
            <w:shd w:val="clear" w:color="auto" w:fill="auto"/>
            <w:vAlign w:val="center"/>
            <w:hideMark/>
          </w:tcPr>
          <w:p w14:paraId="7B5A6E9C" w14:textId="77777777" w:rsidR="00063645" w:rsidRPr="00826421" w:rsidRDefault="00063645" w:rsidP="00063645">
            <w:pPr>
              <w:spacing w:line="276" w:lineRule="auto"/>
              <w:jc w:val="both"/>
            </w:pPr>
            <w:r w:rsidRPr="00826421">
              <w:t xml:space="preserve">Owned </w:t>
            </w:r>
            <w:r>
              <w:t>(</w:t>
            </w:r>
            <w:r w:rsidRPr="00826421">
              <w:t>mortgage</w:t>
            </w:r>
            <w:r>
              <w:t>)</w:t>
            </w:r>
            <w:r w:rsidRPr="00826421">
              <w:t xml:space="preserve"> or shared ownership</w:t>
            </w:r>
          </w:p>
        </w:tc>
        <w:tc>
          <w:tcPr>
            <w:tcW w:w="570" w:type="pct"/>
            <w:tcBorders>
              <w:top w:val="nil"/>
              <w:left w:val="single" w:sz="4" w:space="0" w:color="auto"/>
              <w:bottom w:val="single" w:sz="4" w:space="0" w:color="auto"/>
              <w:right w:val="single" w:sz="4" w:space="0" w:color="auto"/>
            </w:tcBorders>
            <w:shd w:val="clear" w:color="auto" w:fill="auto"/>
            <w:vAlign w:val="center"/>
          </w:tcPr>
          <w:p w14:paraId="57524BF0" w14:textId="439DA434" w:rsidR="00063645" w:rsidRPr="00826421" w:rsidRDefault="00063645" w:rsidP="00063645">
            <w:pPr>
              <w:spacing w:line="276" w:lineRule="auto"/>
              <w:jc w:val="both"/>
            </w:pPr>
            <w:r>
              <w:rPr>
                <w:rFonts w:ascii="Arial" w:hAnsi="Arial" w:cs="Arial"/>
                <w:b/>
                <w:bCs/>
                <w:color w:val="000000"/>
                <w:sz w:val="22"/>
                <w:szCs w:val="22"/>
              </w:rPr>
              <w:t>169</w:t>
            </w:r>
          </w:p>
        </w:tc>
        <w:tc>
          <w:tcPr>
            <w:tcW w:w="570" w:type="pct"/>
            <w:tcBorders>
              <w:top w:val="nil"/>
              <w:left w:val="nil"/>
              <w:bottom w:val="single" w:sz="4" w:space="0" w:color="auto"/>
              <w:right w:val="single" w:sz="4" w:space="0" w:color="auto"/>
            </w:tcBorders>
            <w:shd w:val="clear" w:color="auto" w:fill="auto"/>
            <w:vAlign w:val="center"/>
          </w:tcPr>
          <w:p w14:paraId="0B380AEF" w14:textId="56DFEF59" w:rsidR="00063645" w:rsidRPr="00826421" w:rsidRDefault="00063645" w:rsidP="00063645">
            <w:pPr>
              <w:spacing w:line="276" w:lineRule="auto"/>
              <w:jc w:val="both"/>
            </w:pPr>
            <w:r>
              <w:rPr>
                <w:rFonts w:ascii="Arial" w:hAnsi="Arial" w:cs="Arial"/>
                <w:color w:val="000000"/>
                <w:sz w:val="22"/>
                <w:szCs w:val="22"/>
              </w:rPr>
              <w:t>31.4%</w:t>
            </w:r>
          </w:p>
        </w:tc>
        <w:tc>
          <w:tcPr>
            <w:tcW w:w="570" w:type="pct"/>
            <w:tcBorders>
              <w:top w:val="nil"/>
              <w:left w:val="nil"/>
              <w:bottom w:val="single" w:sz="4" w:space="0" w:color="auto"/>
              <w:right w:val="single" w:sz="4" w:space="0" w:color="auto"/>
            </w:tcBorders>
            <w:shd w:val="clear" w:color="auto" w:fill="auto"/>
            <w:vAlign w:val="center"/>
          </w:tcPr>
          <w:p w14:paraId="00083703" w14:textId="2FAF0FA9" w:rsidR="00063645" w:rsidRPr="00826421" w:rsidRDefault="00063645" w:rsidP="00063645">
            <w:pPr>
              <w:spacing w:line="276" w:lineRule="auto"/>
              <w:jc w:val="both"/>
            </w:pPr>
            <w:r>
              <w:rPr>
                <w:rFonts w:ascii="Arial" w:hAnsi="Arial" w:cs="Arial"/>
                <w:b/>
                <w:bCs/>
                <w:color w:val="000000"/>
                <w:sz w:val="22"/>
                <w:szCs w:val="22"/>
              </w:rPr>
              <w:t>147</w:t>
            </w:r>
          </w:p>
        </w:tc>
        <w:tc>
          <w:tcPr>
            <w:tcW w:w="570" w:type="pct"/>
            <w:tcBorders>
              <w:top w:val="nil"/>
              <w:left w:val="nil"/>
              <w:bottom w:val="single" w:sz="4" w:space="0" w:color="auto"/>
              <w:right w:val="single" w:sz="4" w:space="0" w:color="auto"/>
            </w:tcBorders>
            <w:shd w:val="clear" w:color="auto" w:fill="auto"/>
            <w:vAlign w:val="center"/>
          </w:tcPr>
          <w:p w14:paraId="56332CCE" w14:textId="7EFD53EF" w:rsidR="00063645" w:rsidRPr="00826421" w:rsidRDefault="00063645" w:rsidP="00063645">
            <w:pPr>
              <w:spacing w:line="276" w:lineRule="auto"/>
              <w:jc w:val="both"/>
            </w:pPr>
            <w:r>
              <w:rPr>
                <w:rFonts w:ascii="Arial" w:hAnsi="Arial" w:cs="Arial"/>
                <w:color w:val="000000"/>
                <w:sz w:val="22"/>
                <w:szCs w:val="22"/>
              </w:rPr>
              <w:t>27.3%</w:t>
            </w:r>
          </w:p>
        </w:tc>
        <w:tc>
          <w:tcPr>
            <w:tcW w:w="570" w:type="pct"/>
            <w:tcBorders>
              <w:top w:val="nil"/>
              <w:left w:val="nil"/>
              <w:bottom w:val="single" w:sz="4" w:space="0" w:color="auto"/>
              <w:right w:val="single" w:sz="4" w:space="0" w:color="auto"/>
            </w:tcBorders>
            <w:shd w:val="clear" w:color="auto" w:fill="auto"/>
            <w:vAlign w:val="center"/>
          </w:tcPr>
          <w:p w14:paraId="044AB5F4" w14:textId="649AE3AA" w:rsidR="00063645" w:rsidRPr="00826421" w:rsidRDefault="00063645" w:rsidP="00063645">
            <w:pPr>
              <w:spacing w:line="276" w:lineRule="auto"/>
              <w:jc w:val="both"/>
            </w:pPr>
            <w:r>
              <w:rPr>
                <w:rFonts w:ascii="Arial" w:hAnsi="Arial" w:cs="Arial"/>
                <w:b/>
                <w:bCs/>
                <w:color w:val="000000"/>
                <w:sz w:val="22"/>
                <w:szCs w:val="22"/>
              </w:rPr>
              <w:t>223</w:t>
            </w:r>
          </w:p>
        </w:tc>
        <w:tc>
          <w:tcPr>
            <w:tcW w:w="569" w:type="pct"/>
            <w:tcBorders>
              <w:top w:val="nil"/>
              <w:left w:val="nil"/>
              <w:bottom w:val="single" w:sz="4" w:space="0" w:color="auto"/>
              <w:right w:val="single" w:sz="4" w:space="0" w:color="auto"/>
            </w:tcBorders>
            <w:shd w:val="clear" w:color="auto" w:fill="auto"/>
            <w:vAlign w:val="center"/>
          </w:tcPr>
          <w:p w14:paraId="41330DF5" w14:textId="609D12D3" w:rsidR="00063645" w:rsidRPr="00826421" w:rsidRDefault="00063645" w:rsidP="00063645">
            <w:pPr>
              <w:spacing w:line="276" w:lineRule="auto"/>
              <w:jc w:val="both"/>
            </w:pPr>
            <w:r>
              <w:rPr>
                <w:rFonts w:ascii="Arial" w:hAnsi="Arial" w:cs="Arial"/>
                <w:color w:val="000000"/>
                <w:sz w:val="22"/>
                <w:szCs w:val="22"/>
              </w:rPr>
              <w:t>41.4%</w:t>
            </w:r>
          </w:p>
        </w:tc>
      </w:tr>
      <w:tr w:rsidR="00063645" w:rsidRPr="00826421" w14:paraId="2A910AB8" w14:textId="77777777" w:rsidTr="00886038">
        <w:trPr>
          <w:trHeight w:val="570"/>
        </w:trPr>
        <w:tc>
          <w:tcPr>
            <w:tcW w:w="1581" w:type="pct"/>
            <w:shd w:val="clear" w:color="auto" w:fill="auto"/>
            <w:vAlign w:val="center"/>
            <w:hideMark/>
          </w:tcPr>
          <w:p w14:paraId="6D818686" w14:textId="77777777" w:rsidR="00063645" w:rsidRPr="00826421" w:rsidRDefault="00063645" w:rsidP="00063645">
            <w:pPr>
              <w:spacing w:line="276" w:lineRule="auto"/>
              <w:jc w:val="both"/>
              <w:rPr>
                <w:b/>
                <w:i/>
              </w:rPr>
            </w:pPr>
            <w:r w:rsidRPr="00826421">
              <w:rPr>
                <w:b/>
                <w:i/>
              </w:rPr>
              <w:t>Rented Total</w:t>
            </w:r>
          </w:p>
        </w:tc>
        <w:tc>
          <w:tcPr>
            <w:tcW w:w="570" w:type="pct"/>
            <w:tcBorders>
              <w:top w:val="nil"/>
              <w:left w:val="single" w:sz="4" w:space="0" w:color="auto"/>
              <w:bottom w:val="single" w:sz="4" w:space="0" w:color="auto"/>
              <w:right w:val="single" w:sz="4" w:space="0" w:color="auto"/>
            </w:tcBorders>
            <w:shd w:val="clear" w:color="auto" w:fill="auto"/>
            <w:vAlign w:val="center"/>
          </w:tcPr>
          <w:p w14:paraId="1D12BD1D" w14:textId="56243161" w:rsidR="00063645" w:rsidRPr="00826421" w:rsidRDefault="00063645" w:rsidP="00063645">
            <w:pPr>
              <w:spacing w:line="276" w:lineRule="auto"/>
              <w:jc w:val="both"/>
              <w:rPr>
                <w:b/>
                <w:i/>
              </w:rPr>
            </w:pPr>
            <w:r>
              <w:rPr>
                <w:rFonts w:ascii="Arial" w:hAnsi="Arial" w:cs="Arial"/>
                <w:b/>
                <w:bCs/>
                <w:color w:val="000000"/>
                <w:sz w:val="22"/>
                <w:szCs w:val="22"/>
              </w:rPr>
              <w:t>638</w:t>
            </w:r>
          </w:p>
        </w:tc>
        <w:tc>
          <w:tcPr>
            <w:tcW w:w="570" w:type="pct"/>
            <w:tcBorders>
              <w:top w:val="nil"/>
              <w:left w:val="nil"/>
              <w:bottom w:val="single" w:sz="4" w:space="0" w:color="auto"/>
              <w:right w:val="single" w:sz="4" w:space="0" w:color="auto"/>
            </w:tcBorders>
            <w:shd w:val="clear" w:color="auto" w:fill="auto"/>
            <w:vAlign w:val="center"/>
          </w:tcPr>
          <w:p w14:paraId="72EDD3E1" w14:textId="7231B40F" w:rsidR="00063645" w:rsidRPr="00826421" w:rsidRDefault="00063645" w:rsidP="00063645">
            <w:pPr>
              <w:spacing w:line="276" w:lineRule="auto"/>
              <w:jc w:val="both"/>
              <w:rPr>
                <w:b/>
                <w:i/>
              </w:rPr>
            </w:pPr>
            <w:r>
              <w:rPr>
                <w:rFonts w:ascii="Arial" w:hAnsi="Arial" w:cs="Arial"/>
                <w:b/>
                <w:bCs/>
                <w:i/>
                <w:iCs/>
                <w:color w:val="000000"/>
                <w:sz w:val="22"/>
                <w:szCs w:val="22"/>
              </w:rPr>
              <w:t>42.7%</w:t>
            </w:r>
          </w:p>
        </w:tc>
        <w:tc>
          <w:tcPr>
            <w:tcW w:w="570" w:type="pct"/>
            <w:tcBorders>
              <w:top w:val="nil"/>
              <w:left w:val="nil"/>
              <w:bottom w:val="single" w:sz="4" w:space="0" w:color="auto"/>
              <w:right w:val="single" w:sz="4" w:space="0" w:color="auto"/>
            </w:tcBorders>
            <w:shd w:val="clear" w:color="auto" w:fill="auto"/>
            <w:vAlign w:val="center"/>
          </w:tcPr>
          <w:p w14:paraId="28E6507B" w14:textId="584D8259" w:rsidR="00063645" w:rsidRPr="00826421" w:rsidRDefault="00063645" w:rsidP="00063645">
            <w:pPr>
              <w:spacing w:line="276" w:lineRule="auto"/>
              <w:jc w:val="both"/>
              <w:rPr>
                <w:b/>
                <w:i/>
              </w:rPr>
            </w:pPr>
            <w:r>
              <w:rPr>
                <w:rFonts w:ascii="Arial" w:hAnsi="Arial" w:cs="Arial"/>
                <w:b/>
                <w:bCs/>
                <w:color w:val="000000"/>
                <w:sz w:val="22"/>
                <w:szCs w:val="22"/>
              </w:rPr>
              <w:t>465</w:t>
            </w:r>
          </w:p>
        </w:tc>
        <w:tc>
          <w:tcPr>
            <w:tcW w:w="570" w:type="pct"/>
            <w:tcBorders>
              <w:top w:val="nil"/>
              <w:left w:val="nil"/>
              <w:bottom w:val="single" w:sz="4" w:space="0" w:color="auto"/>
              <w:right w:val="single" w:sz="4" w:space="0" w:color="auto"/>
            </w:tcBorders>
            <w:shd w:val="clear" w:color="auto" w:fill="auto"/>
            <w:vAlign w:val="center"/>
          </w:tcPr>
          <w:p w14:paraId="26AA4E56" w14:textId="6709B7EC" w:rsidR="00063645" w:rsidRPr="00826421" w:rsidRDefault="00063645" w:rsidP="00063645">
            <w:pPr>
              <w:spacing w:line="276" w:lineRule="auto"/>
              <w:jc w:val="both"/>
              <w:rPr>
                <w:b/>
                <w:i/>
              </w:rPr>
            </w:pPr>
            <w:r>
              <w:rPr>
                <w:rFonts w:ascii="Arial" w:hAnsi="Arial" w:cs="Arial"/>
                <w:b/>
                <w:bCs/>
                <w:i/>
                <w:iCs/>
                <w:color w:val="000000"/>
                <w:sz w:val="22"/>
                <w:szCs w:val="22"/>
              </w:rPr>
              <w:t>31.1%</w:t>
            </w:r>
          </w:p>
        </w:tc>
        <w:tc>
          <w:tcPr>
            <w:tcW w:w="570" w:type="pct"/>
            <w:tcBorders>
              <w:top w:val="nil"/>
              <w:left w:val="nil"/>
              <w:bottom w:val="single" w:sz="4" w:space="0" w:color="auto"/>
              <w:right w:val="single" w:sz="4" w:space="0" w:color="auto"/>
            </w:tcBorders>
            <w:shd w:val="clear" w:color="auto" w:fill="auto"/>
            <w:vAlign w:val="center"/>
          </w:tcPr>
          <w:p w14:paraId="6E8BEFF0" w14:textId="4568FF91" w:rsidR="00063645" w:rsidRPr="00826421" w:rsidRDefault="00063645" w:rsidP="00063645">
            <w:pPr>
              <w:spacing w:line="276" w:lineRule="auto"/>
              <w:jc w:val="both"/>
              <w:rPr>
                <w:b/>
                <w:i/>
              </w:rPr>
            </w:pPr>
            <w:r>
              <w:rPr>
                <w:rFonts w:ascii="Arial" w:hAnsi="Arial" w:cs="Arial"/>
                <w:b/>
                <w:bCs/>
                <w:color w:val="000000"/>
                <w:sz w:val="22"/>
                <w:szCs w:val="22"/>
              </w:rPr>
              <w:t>392</w:t>
            </w:r>
          </w:p>
        </w:tc>
        <w:tc>
          <w:tcPr>
            <w:tcW w:w="569" w:type="pct"/>
            <w:tcBorders>
              <w:top w:val="nil"/>
              <w:left w:val="nil"/>
              <w:bottom w:val="single" w:sz="4" w:space="0" w:color="auto"/>
              <w:right w:val="single" w:sz="4" w:space="0" w:color="auto"/>
            </w:tcBorders>
            <w:shd w:val="clear" w:color="auto" w:fill="auto"/>
            <w:vAlign w:val="center"/>
          </w:tcPr>
          <w:p w14:paraId="0980BAF5" w14:textId="5CDD1A50" w:rsidR="00063645" w:rsidRPr="00826421" w:rsidRDefault="00063645" w:rsidP="00063645">
            <w:pPr>
              <w:spacing w:line="276" w:lineRule="auto"/>
              <w:jc w:val="both"/>
              <w:rPr>
                <w:b/>
                <w:i/>
              </w:rPr>
            </w:pPr>
            <w:r>
              <w:rPr>
                <w:rFonts w:ascii="Arial" w:hAnsi="Arial" w:cs="Arial"/>
                <w:b/>
                <w:bCs/>
                <w:i/>
                <w:iCs/>
                <w:color w:val="000000"/>
                <w:sz w:val="22"/>
                <w:szCs w:val="22"/>
              </w:rPr>
              <w:t>26.2%</w:t>
            </w:r>
          </w:p>
        </w:tc>
      </w:tr>
      <w:tr w:rsidR="00063645" w:rsidRPr="00826421" w14:paraId="32C565E3" w14:textId="77777777" w:rsidTr="00886038">
        <w:trPr>
          <w:trHeight w:val="570"/>
        </w:trPr>
        <w:tc>
          <w:tcPr>
            <w:tcW w:w="1581" w:type="pct"/>
            <w:shd w:val="clear" w:color="auto" w:fill="auto"/>
            <w:vAlign w:val="center"/>
            <w:hideMark/>
          </w:tcPr>
          <w:p w14:paraId="1954F3C9" w14:textId="77777777" w:rsidR="00063645" w:rsidRPr="00826421" w:rsidRDefault="00063645" w:rsidP="00063645">
            <w:pPr>
              <w:spacing w:line="276" w:lineRule="auto"/>
              <w:jc w:val="both"/>
            </w:pPr>
            <w:r w:rsidRPr="00826421">
              <w:t>Social rented</w:t>
            </w:r>
          </w:p>
        </w:tc>
        <w:tc>
          <w:tcPr>
            <w:tcW w:w="570" w:type="pct"/>
            <w:tcBorders>
              <w:top w:val="nil"/>
              <w:left w:val="single" w:sz="4" w:space="0" w:color="auto"/>
              <w:bottom w:val="single" w:sz="4" w:space="0" w:color="auto"/>
              <w:right w:val="single" w:sz="4" w:space="0" w:color="auto"/>
            </w:tcBorders>
            <w:shd w:val="clear" w:color="auto" w:fill="auto"/>
            <w:vAlign w:val="center"/>
          </w:tcPr>
          <w:p w14:paraId="6B192FAC" w14:textId="32E0A842" w:rsidR="00063645" w:rsidRPr="00826421" w:rsidRDefault="00063645" w:rsidP="00063645">
            <w:pPr>
              <w:spacing w:line="276" w:lineRule="auto"/>
              <w:jc w:val="both"/>
            </w:pPr>
            <w:r>
              <w:rPr>
                <w:rFonts w:ascii="Arial" w:hAnsi="Arial" w:cs="Arial"/>
                <w:b/>
                <w:bCs/>
                <w:color w:val="000000"/>
                <w:sz w:val="22"/>
                <w:szCs w:val="22"/>
              </w:rPr>
              <w:t>526</w:t>
            </w:r>
          </w:p>
        </w:tc>
        <w:tc>
          <w:tcPr>
            <w:tcW w:w="570" w:type="pct"/>
            <w:tcBorders>
              <w:top w:val="nil"/>
              <w:left w:val="nil"/>
              <w:bottom w:val="single" w:sz="4" w:space="0" w:color="auto"/>
              <w:right w:val="single" w:sz="4" w:space="0" w:color="auto"/>
            </w:tcBorders>
            <w:shd w:val="clear" w:color="auto" w:fill="auto"/>
            <w:vAlign w:val="center"/>
          </w:tcPr>
          <w:p w14:paraId="4046C887" w14:textId="7705CA52" w:rsidR="00063645" w:rsidRPr="00826421" w:rsidRDefault="00063645" w:rsidP="00063645">
            <w:pPr>
              <w:spacing w:line="276" w:lineRule="auto"/>
              <w:jc w:val="both"/>
            </w:pPr>
            <w:r>
              <w:rPr>
                <w:rFonts w:ascii="Arial" w:hAnsi="Arial" w:cs="Arial"/>
                <w:color w:val="000000"/>
                <w:sz w:val="22"/>
                <w:szCs w:val="22"/>
              </w:rPr>
              <w:t>44.8%</w:t>
            </w:r>
          </w:p>
        </w:tc>
        <w:tc>
          <w:tcPr>
            <w:tcW w:w="570" w:type="pct"/>
            <w:tcBorders>
              <w:top w:val="nil"/>
              <w:left w:val="nil"/>
              <w:bottom w:val="single" w:sz="4" w:space="0" w:color="auto"/>
              <w:right w:val="single" w:sz="4" w:space="0" w:color="auto"/>
            </w:tcBorders>
            <w:shd w:val="clear" w:color="auto" w:fill="auto"/>
            <w:vAlign w:val="center"/>
          </w:tcPr>
          <w:p w14:paraId="7687C45F" w14:textId="241F7E70" w:rsidR="00063645" w:rsidRPr="00826421" w:rsidRDefault="00063645" w:rsidP="00063645">
            <w:pPr>
              <w:spacing w:line="276" w:lineRule="auto"/>
              <w:jc w:val="both"/>
            </w:pPr>
            <w:r>
              <w:rPr>
                <w:rFonts w:ascii="Arial" w:hAnsi="Arial" w:cs="Arial"/>
                <w:b/>
                <w:bCs/>
                <w:color w:val="000000"/>
                <w:sz w:val="22"/>
                <w:szCs w:val="22"/>
              </w:rPr>
              <w:t>366</w:t>
            </w:r>
          </w:p>
        </w:tc>
        <w:tc>
          <w:tcPr>
            <w:tcW w:w="570" w:type="pct"/>
            <w:tcBorders>
              <w:top w:val="nil"/>
              <w:left w:val="nil"/>
              <w:bottom w:val="single" w:sz="4" w:space="0" w:color="auto"/>
              <w:right w:val="single" w:sz="4" w:space="0" w:color="auto"/>
            </w:tcBorders>
            <w:shd w:val="clear" w:color="auto" w:fill="auto"/>
            <w:vAlign w:val="center"/>
          </w:tcPr>
          <w:p w14:paraId="51856ED7" w14:textId="7410B581" w:rsidR="00063645" w:rsidRPr="00826421" w:rsidRDefault="00063645" w:rsidP="00063645">
            <w:pPr>
              <w:spacing w:line="276" w:lineRule="auto"/>
              <w:jc w:val="both"/>
            </w:pPr>
            <w:r>
              <w:rPr>
                <w:rFonts w:ascii="Arial" w:hAnsi="Arial" w:cs="Arial"/>
                <w:color w:val="000000"/>
                <w:sz w:val="22"/>
                <w:szCs w:val="22"/>
              </w:rPr>
              <w:t>31.2%</w:t>
            </w:r>
          </w:p>
        </w:tc>
        <w:tc>
          <w:tcPr>
            <w:tcW w:w="570" w:type="pct"/>
            <w:tcBorders>
              <w:top w:val="nil"/>
              <w:left w:val="nil"/>
              <w:bottom w:val="single" w:sz="4" w:space="0" w:color="auto"/>
              <w:right w:val="single" w:sz="4" w:space="0" w:color="auto"/>
            </w:tcBorders>
            <w:shd w:val="clear" w:color="auto" w:fill="auto"/>
            <w:vAlign w:val="center"/>
          </w:tcPr>
          <w:p w14:paraId="06FA118A" w14:textId="430EC8A7" w:rsidR="00063645" w:rsidRPr="00826421" w:rsidRDefault="00063645" w:rsidP="00063645">
            <w:pPr>
              <w:spacing w:line="276" w:lineRule="auto"/>
              <w:jc w:val="both"/>
            </w:pPr>
            <w:r>
              <w:rPr>
                <w:rFonts w:ascii="Arial" w:hAnsi="Arial" w:cs="Arial"/>
                <w:b/>
                <w:bCs/>
                <w:color w:val="000000"/>
                <w:sz w:val="22"/>
                <w:szCs w:val="22"/>
              </w:rPr>
              <w:t>282</w:t>
            </w:r>
          </w:p>
        </w:tc>
        <w:tc>
          <w:tcPr>
            <w:tcW w:w="569" w:type="pct"/>
            <w:tcBorders>
              <w:top w:val="nil"/>
              <w:left w:val="nil"/>
              <w:bottom w:val="single" w:sz="4" w:space="0" w:color="auto"/>
              <w:right w:val="single" w:sz="4" w:space="0" w:color="auto"/>
            </w:tcBorders>
            <w:shd w:val="clear" w:color="auto" w:fill="auto"/>
            <w:vAlign w:val="center"/>
          </w:tcPr>
          <w:p w14:paraId="427F9008" w14:textId="5D3AEDDB" w:rsidR="00063645" w:rsidRPr="00826421" w:rsidRDefault="00063645" w:rsidP="00063645">
            <w:pPr>
              <w:spacing w:line="276" w:lineRule="auto"/>
              <w:jc w:val="both"/>
            </w:pPr>
            <w:r>
              <w:rPr>
                <w:rFonts w:ascii="Arial" w:hAnsi="Arial" w:cs="Arial"/>
                <w:color w:val="000000"/>
                <w:sz w:val="22"/>
                <w:szCs w:val="22"/>
              </w:rPr>
              <w:t>24.0%</w:t>
            </w:r>
          </w:p>
        </w:tc>
      </w:tr>
      <w:tr w:rsidR="00063645" w:rsidRPr="00826421" w14:paraId="61641415" w14:textId="77777777" w:rsidTr="00886038">
        <w:trPr>
          <w:trHeight w:val="570"/>
        </w:trPr>
        <w:tc>
          <w:tcPr>
            <w:tcW w:w="1581" w:type="pct"/>
            <w:shd w:val="clear" w:color="auto" w:fill="auto"/>
            <w:vAlign w:val="center"/>
            <w:hideMark/>
          </w:tcPr>
          <w:p w14:paraId="59E28D48" w14:textId="77777777" w:rsidR="00063645" w:rsidRPr="00826421" w:rsidRDefault="00063645" w:rsidP="00063645">
            <w:pPr>
              <w:spacing w:line="276" w:lineRule="auto"/>
              <w:jc w:val="both"/>
            </w:pPr>
            <w:r w:rsidRPr="00826421">
              <w:t>Private rented or living rent free</w:t>
            </w:r>
          </w:p>
        </w:tc>
        <w:tc>
          <w:tcPr>
            <w:tcW w:w="570" w:type="pct"/>
            <w:tcBorders>
              <w:top w:val="nil"/>
              <w:left w:val="single" w:sz="4" w:space="0" w:color="auto"/>
              <w:bottom w:val="single" w:sz="4" w:space="0" w:color="auto"/>
              <w:right w:val="single" w:sz="4" w:space="0" w:color="auto"/>
            </w:tcBorders>
            <w:shd w:val="clear" w:color="auto" w:fill="auto"/>
            <w:vAlign w:val="center"/>
          </w:tcPr>
          <w:p w14:paraId="6352D87F" w14:textId="4D76FF01" w:rsidR="00063645" w:rsidRPr="00826421" w:rsidRDefault="00063645" w:rsidP="00063645">
            <w:pPr>
              <w:spacing w:line="276" w:lineRule="auto"/>
              <w:jc w:val="both"/>
            </w:pPr>
            <w:r>
              <w:rPr>
                <w:rFonts w:ascii="Arial" w:hAnsi="Arial" w:cs="Arial"/>
                <w:b/>
                <w:bCs/>
                <w:color w:val="000000"/>
                <w:sz w:val="22"/>
                <w:szCs w:val="22"/>
              </w:rPr>
              <w:t>112</w:t>
            </w:r>
          </w:p>
        </w:tc>
        <w:tc>
          <w:tcPr>
            <w:tcW w:w="570" w:type="pct"/>
            <w:tcBorders>
              <w:top w:val="nil"/>
              <w:left w:val="nil"/>
              <w:bottom w:val="single" w:sz="4" w:space="0" w:color="auto"/>
              <w:right w:val="single" w:sz="4" w:space="0" w:color="auto"/>
            </w:tcBorders>
            <w:shd w:val="clear" w:color="auto" w:fill="auto"/>
            <w:vAlign w:val="center"/>
          </w:tcPr>
          <w:p w14:paraId="7C487C11" w14:textId="4C815C6A" w:rsidR="00063645" w:rsidRPr="00826421" w:rsidRDefault="00063645" w:rsidP="00063645">
            <w:pPr>
              <w:spacing w:line="276" w:lineRule="auto"/>
              <w:jc w:val="both"/>
            </w:pPr>
            <w:r>
              <w:rPr>
                <w:rFonts w:ascii="Arial" w:hAnsi="Arial" w:cs="Arial"/>
                <w:color w:val="000000"/>
                <w:sz w:val="22"/>
                <w:szCs w:val="22"/>
              </w:rPr>
              <w:t>34.9%</w:t>
            </w:r>
          </w:p>
        </w:tc>
        <w:tc>
          <w:tcPr>
            <w:tcW w:w="570" w:type="pct"/>
            <w:tcBorders>
              <w:top w:val="nil"/>
              <w:left w:val="nil"/>
              <w:bottom w:val="single" w:sz="4" w:space="0" w:color="auto"/>
              <w:right w:val="single" w:sz="4" w:space="0" w:color="auto"/>
            </w:tcBorders>
            <w:shd w:val="clear" w:color="auto" w:fill="auto"/>
            <w:vAlign w:val="center"/>
          </w:tcPr>
          <w:p w14:paraId="03CC82A7" w14:textId="6D8E1FE9" w:rsidR="00063645" w:rsidRPr="00826421" w:rsidRDefault="00063645" w:rsidP="00063645">
            <w:pPr>
              <w:spacing w:line="276" w:lineRule="auto"/>
              <w:jc w:val="both"/>
            </w:pPr>
            <w:r>
              <w:rPr>
                <w:rFonts w:ascii="Arial" w:hAnsi="Arial" w:cs="Arial"/>
                <w:b/>
                <w:bCs/>
                <w:color w:val="000000"/>
                <w:sz w:val="22"/>
                <w:szCs w:val="22"/>
              </w:rPr>
              <w:t>99</w:t>
            </w:r>
          </w:p>
        </w:tc>
        <w:tc>
          <w:tcPr>
            <w:tcW w:w="570" w:type="pct"/>
            <w:tcBorders>
              <w:top w:val="nil"/>
              <w:left w:val="nil"/>
              <w:bottom w:val="single" w:sz="4" w:space="0" w:color="auto"/>
              <w:right w:val="single" w:sz="4" w:space="0" w:color="auto"/>
            </w:tcBorders>
            <w:shd w:val="clear" w:color="auto" w:fill="auto"/>
            <w:vAlign w:val="center"/>
          </w:tcPr>
          <w:p w14:paraId="57BCF87D" w14:textId="2633048D" w:rsidR="00063645" w:rsidRPr="00826421" w:rsidRDefault="00063645" w:rsidP="00063645">
            <w:pPr>
              <w:spacing w:line="276" w:lineRule="auto"/>
              <w:jc w:val="both"/>
            </w:pPr>
            <w:r>
              <w:rPr>
                <w:rFonts w:ascii="Arial" w:hAnsi="Arial" w:cs="Arial"/>
                <w:color w:val="000000"/>
                <w:sz w:val="22"/>
                <w:szCs w:val="22"/>
              </w:rPr>
              <w:t>30.8%</w:t>
            </w:r>
          </w:p>
        </w:tc>
        <w:tc>
          <w:tcPr>
            <w:tcW w:w="570" w:type="pct"/>
            <w:tcBorders>
              <w:top w:val="nil"/>
              <w:left w:val="nil"/>
              <w:bottom w:val="single" w:sz="4" w:space="0" w:color="auto"/>
              <w:right w:val="single" w:sz="4" w:space="0" w:color="auto"/>
            </w:tcBorders>
            <w:shd w:val="clear" w:color="auto" w:fill="auto"/>
            <w:vAlign w:val="center"/>
          </w:tcPr>
          <w:p w14:paraId="0795B99E" w14:textId="21926531" w:rsidR="00063645" w:rsidRPr="00826421" w:rsidRDefault="00063645" w:rsidP="00063645">
            <w:pPr>
              <w:spacing w:line="276" w:lineRule="auto"/>
              <w:jc w:val="both"/>
            </w:pPr>
            <w:r>
              <w:rPr>
                <w:rFonts w:ascii="Arial" w:hAnsi="Arial" w:cs="Arial"/>
                <w:b/>
                <w:bCs/>
                <w:color w:val="000000"/>
                <w:sz w:val="22"/>
                <w:szCs w:val="22"/>
              </w:rPr>
              <w:t>110</w:t>
            </w:r>
          </w:p>
        </w:tc>
        <w:tc>
          <w:tcPr>
            <w:tcW w:w="569" w:type="pct"/>
            <w:tcBorders>
              <w:top w:val="nil"/>
              <w:left w:val="nil"/>
              <w:bottom w:val="single" w:sz="4" w:space="0" w:color="auto"/>
              <w:right w:val="single" w:sz="4" w:space="0" w:color="auto"/>
            </w:tcBorders>
            <w:shd w:val="clear" w:color="auto" w:fill="auto"/>
            <w:vAlign w:val="center"/>
          </w:tcPr>
          <w:p w14:paraId="15FE8C96" w14:textId="39D80B1F" w:rsidR="00063645" w:rsidRPr="00826421" w:rsidRDefault="00063645" w:rsidP="00063645">
            <w:pPr>
              <w:spacing w:line="276" w:lineRule="auto"/>
              <w:jc w:val="both"/>
            </w:pPr>
            <w:r>
              <w:rPr>
                <w:rFonts w:ascii="Arial" w:hAnsi="Arial" w:cs="Arial"/>
                <w:color w:val="000000"/>
                <w:sz w:val="22"/>
                <w:szCs w:val="22"/>
              </w:rPr>
              <w:t>34.3%</w:t>
            </w:r>
          </w:p>
        </w:tc>
      </w:tr>
    </w:tbl>
    <w:p w14:paraId="17E64FD6" w14:textId="02F08470" w:rsidR="00201C53" w:rsidRDefault="00201C53" w:rsidP="00886038">
      <w:pPr>
        <w:pStyle w:val="Source"/>
        <w:jc w:val="both"/>
        <w:rPr>
          <w:lang w:val="en-US"/>
        </w:rPr>
      </w:pPr>
      <w:r w:rsidRPr="00826421">
        <w:rPr>
          <w:lang w:val="en-US"/>
        </w:rPr>
        <w:t xml:space="preserve">Source: DC3408EW Health </w:t>
      </w:r>
      <w:r w:rsidRPr="00C639E2">
        <w:t>status</w:t>
      </w:r>
    </w:p>
    <w:p w14:paraId="799178D0" w14:textId="77777777" w:rsidR="00201C53" w:rsidRPr="009E1BB6" w:rsidRDefault="00201C53" w:rsidP="00252C91">
      <w:pPr>
        <w:pStyle w:val="Appendixheading2"/>
        <w:jc w:val="both"/>
        <w:rPr>
          <w:color w:val="auto"/>
        </w:rPr>
      </w:pPr>
      <w:bookmarkStart w:id="238" w:name="_Ref945316"/>
      <w:r w:rsidRPr="009E1BB6">
        <w:rPr>
          <w:color w:val="auto"/>
        </w:rPr>
        <w:lastRenderedPageBreak/>
        <w:t>HLIN calculations</w:t>
      </w:r>
    </w:p>
    <w:p w14:paraId="5CD4CCFB" w14:textId="77777777" w:rsidR="00201C53" w:rsidRPr="009E1BB6" w:rsidRDefault="00201C53" w:rsidP="00252C91">
      <w:pPr>
        <w:pStyle w:val="Caption"/>
        <w:jc w:val="both"/>
        <w:rPr>
          <w:color w:val="auto"/>
        </w:rPr>
      </w:pPr>
      <w:r w:rsidRPr="00886038">
        <w:rPr>
          <w:color w:val="auto"/>
        </w:rPr>
        <w:t>Ta</w:t>
      </w:r>
      <w:bookmarkEnd w:id="238"/>
      <w:r w:rsidRPr="00886038">
        <w:rPr>
          <w:color w:val="auto"/>
        </w:rPr>
        <w:t>ble E-3: Recommended provision of specialist housing for older people from the HLIN SHOP</w:t>
      </w:r>
      <w:r w:rsidRPr="009E1BB6">
        <w:rPr>
          <w:color w:val="auto"/>
        </w:rPr>
        <w:t xml:space="preserve"> toolkit</w:t>
      </w:r>
    </w:p>
    <w:p w14:paraId="6AC8981E" w14:textId="77777777" w:rsidR="00201C53" w:rsidRPr="00826421" w:rsidRDefault="00201C53" w:rsidP="00252C91">
      <w:pPr>
        <w:spacing w:line="276" w:lineRule="auto"/>
        <w:jc w:val="both"/>
        <w:rPr>
          <w:lang w:val="en-US"/>
        </w:rPr>
      </w:pPr>
      <w:r w:rsidRPr="00826421">
        <w:rPr>
          <w:noProof/>
        </w:rPr>
        <w:drawing>
          <wp:inline distT="0" distB="0" distL="0" distR="0" wp14:anchorId="437DCDAE" wp14:editId="17A7FA7A">
            <wp:extent cx="6252214" cy="2464904"/>
            <wp:effectExtent l="0" t="0" r="0" b="0"/>
            <wp:docPr id="6" name="Picture 6" descr="A red and white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and white card with text&#10;&#10;Description automatically generated"/>
                    <pic:cNvPicPr/>
                  </pic:nvPicPr>
                  <pic:blipFill rotWithShape="1">
                    <a:blip r:embed="rId35">
                      <a:extLst>
                        <a:ext uri="{28A0092B-C50C-407E-A947-70E740481C1C}">
                          <a14:useLocalDpi xmlns:a14="http://schemas.microsoft.com/office/drawing/2010/main" val="0"/>
                        </a:ext>
                      </a:extLst>
                    </a:blip>
                    <a:srcRect l="512" r="763" b="4275"/>
                    <a:stretch/>
                  </pic:blipFill>
                  <pic:spPr bwMode="auto">
                    <a:xfrm>
                      <a:off x="0" y="0"/>
                      <a:ext cx="6258673" cy="2467450"/>
                    </a:xfrm>
                    <a:prstGeom prst="rect">
                      <a:avLst/>
                    </a:prstGeom>
                    <a:ln>
                      <a:noFill/>
                    </a:ln>
                    <a:extLst>
                      <a:ext uri="{53640926-AAD7-44D8-BBD7-CCE9431645EC}">
                        <a14:shadowObscured xmlns:a14="http://schemas.microsoft.com/office/drawing/2010/main"/>
                      </a:ext>
                    </a:extLst>
                  </pic:spPr>
                </pic:pic>
              </a:graphicData>
            </a:graphic>
          </wp:inline>
        </w:drawing>
      </w:r>
    </w:p>
    <w:p w14:paraId="2C80960F" w14:textId="77777777" w:rsidR="00201C53" w:rsidRPr="00826421" w:rsidRDefault="00201C53" w:rsidP="00252C91">
      <w:pPr>
        <w:pStyle w:val="Source"/>
        <w:jc w:val="both"/>
        <w:rPr>
          <w:lang w:val="en-US"/>
        </w:rPr>
      </w:pPr>
      <w:r w:rsidRPr="00826421">
        <w:rPr>
          <w:lang w:val="en-US"/>
        </w:rPr>
        <w:t>Source: Housing LIN SHOP Toolkit</w:t>
      </w:r>
    </w:p>
    <w:p w14:paraId="5C098B4C" w14:textId="0619692E" w:rsidR="00201C53" w:rsidRPr="00063645" w:rsidRDefault="00201C53" w:rsidP="00252C91">
      <w:pPr>
        <w:pStyle w:val="AppendixText"/>
        <w:jc w:val="both"/>
        <w:rPr>
          <w:bCs/>
        </w:rPr>
      </w:pPr>
      <w:r w:rsidRPr="00063645">
        <w:t xml:space="preserve">As Table </w:t>
      </w:r>
      <w:r w:rsidR="00063645" w:rsidRPr="00063645">
        <w:t>6-4</w:t>
      </w:r>
      <w:r w:rsidRPr="00063645">
        <w:t xml:space="preserve"> in the main report shows, </w:t>
      </w:r>
      <w:r w:rsidR="00D143F2" w:rsidRPr="00063645">
        <w:t>Consett</w:t>
      </w:r>
      <w:r w:rsidRPr="00063645">
        <w:t xml:space="preserve"> is forecast to see an increase of </w:t>
      </w:r>
      <w:r w:rsidR="00063645" w:rsidRPr="00063645">
        <w:t>2,017</w:t>
      </w:r>
      <w:r w:rsidRPr="00063645">
        <w:t xml:space="preserve">individuals aged 75+ by the end of </w:t>
      </w:r>
      <w:r w:rsidR="0096304E" w:rsidRPr="00063645">
        <w:t>the Neighbourhood Plan period</w:t>
      </w:r>
      <w:r w:rsidRPr="00063645">
        <w:t>. According to the HLIN tool, this translates into need as follows:</w:t>
      </w:r>
    </w:p>
    <w:p w14:paraId="7531D83E" w14:textId="39E93DCC" w:rsidR="00201C53" w:rsidRPr="00063645" w:rsidRDefault="00201C53" w:rsidP="00252C91">
      <w:pPr>
        <w:pStyle w:val="ListBullet"/>
        <w:jc w:val="both"/>
        <w:rPr>
          <w:lang w:val="en-US"/>
        </w:rPr>
      </w:pPr>
      <w:r w:rsidRPr="00063645">
        <w:rPr>
          <w:lang w:val="en-US"/>
        </w:rPr>
        <w:t xml:space="preserve">Conventional sheltered housing to rent = 60 x </w:t>
      </w:r>
      <w:r w:rsidR="00063645" w:rsidRPr="00063645">
        <w:rPr>
          <w:lang w:val="en-US"/>
        </w:rPr>
        <w:t>2.017</w:t>
      </w:r>
      <w:r w:rsidRPr="00063645">
        <w:rPr>
          <w:lang w:val="en-US"/>
        </w:rPr>
        <w:t xml:space="preserve"> = </w:t>
      </w:r>
      <w:r w:rsidR="00063645" w:rsidRPr="00063645">
        <w:rPr>
          <w:lang w:val="en-US"/>
        </w:rPr>
        <w:t>121</w:t>
      </w:r>
    </w:p>
    <w:p w14:paraId="1441C979" w14:textId="7401E64A" w:rsidR="00201C53" w:rsidRPr="00063645" w:rsidRDefault="00201C53" w:rsidP="00252C91">
      <w:pPr>
        <w:pStyle w:val="ListBullet"/>
        <w:jc w:val="both"/>
        <w:rPr>
          <w:lang w:val="en-US"/>
        </w:rPr>
      </w:pPr>
      <w:r w:rsidRPr="00063645">
        <w:rPr>
          <w:lang w:val="en-US"/>
        </w:rPr>
        <w:t xml:space="preserve">Leasehold sheltered housing = 120 x </w:t>
      </w:r>
      <w:r w:rsidR="00063645" w:rsidRPr="00063645">
        <w:rPr>
          <w:lang w:val="en-US"/>
        </w:rPr>
        <w:t xml:space="preserve">2.017 </w:t>
      </w:r>
      <w:r w:rsidRPr="00063645">
        <w:rPr>
          <w:lang w:val="en-US"/>
        </w:rPr>
        <w:t xml:space="preserve">= </w:t>
      </w:r>
      <w:r w:rsidR="00063645" w:rsidRPr="00063645">
        <w:rPr>
          <w:lang w:val="en-US"/>
        </w:rPr>
        <w:t>242</w:t>
      </w:r>
    </w:p>
    <w:p w14:paraId="3ADADFAE" w14:textId="73F6FB8D" w:rsidR="00201C53" w:rsidRPr="00063645" w:rsidRDefault="00201C53" w:rsidP="00252C91">
      <w:pPr>
        <w:pStyle w:val="ListBullet"/>
        <w:jc w:val="both"/>
        <w:rPr>
          <w:lang w:val="en-US"/>
        </w:rPr>
      </w:pPr>
      <w:r w:rsidRPr="00063645">
        <w:rPr>
          <w:lang w:val="en-US"/>
        </w:rPr>
        <w:t xml:space="preserve">Enhanced sheltered housing (divided 50:50 between that for rent and that for sale) = 20 x </w:t>
      </w:r>
      <w:r w:rsidR="00063645" w:rsidRPr="00063645">
        <w:rPr>
          <w:lang w:val="en-US"/>
        </w:rPr>
        <w:t xml:space="preserve">2.017 </w:t>
      </w:r>
      <w:r w:rsidRPr="00063645">
        <w:rPr>
          <w:lang w:val="en-US"/>
        </w:rPr>
        <w:t xml:space="preserve">= </w:t>
      </w:r>
      <w:r w:rsidR="00063645" w:rsidRPr="00063645">
        <w:rPr>
          <w:lang w:val="en-US"/>
        </w:rPr>
        <w:t>40</w:t>
      </w:r>
      <w:r w:rsidRPr="00063645">
        <w:rPr>
          <w:lang w:val="en-US"/>
        </w:rPr>
        <w:t xml:space="preserve"> </w:t>
      </w:r>
    </w:p>
    <w:p w14:paraId="79C3DCF1" w14:textId="61661BA9" w:rsidR="00201C53" w:rsidRPr="00063645" w:rsidRDefault="00201C53" w:rsidP="00252C91">
      <w:pPr>
        <w:pStyle w:val="ListBullet"/>
        <w:jc w:val="both"/>
        <w:rPr>
          <w:lang w:val="en-US"/>
        </w:rPr>
      </w:pPr>
      <w:r w:rsidRPr="00063645">
        <w:rPr>
          <w:lang w:val="en-US"/>
        </w:rPr>
        <w:t xml:space="preserve">Extra care housing for rent = 15 x </w:t>
      </w:r>
      <w:r w:rsidR="00063645" w:rsidRPr="00063645">
        <w:rPr>
          <w:lang w:val="en-US"/>
        </w:rPr>
        <w:t>2.017</w:t>
      </w:r>
      <w:r w:rsidRPr="00063645">
        <w:rPr>
          <w:lang w:val="en-US"/>
        </w:rPr>
        <w:t xml:space="preserve"> = </w:t>
      </w:r>
      <w:r w:rsidR="00063645" w:rsidRPr="00063645">
        <w:rPr>
          <w:lang w:val="en-US"/>
        </w:rPr>
        <w:t>30</w:t>
      </w:r>
    </w:p>
    <w:p w14:paraId="69FFF55F" w14:textId="43F9B0B0" w:rsidR="00201C53" w:rsidRPr="00063645" w:rsidRDefault="00201C53" w:rsidP="00252C91">
      <w:pPr>
        <w:pStyle w:val="ListBullet"/>
        <w:jc w:val="both"/>
        <w:rPr>
          <w:lang w:val="en-US"/>
        </w:rPr>
      </w:pPr>
      <w:r w:rsidRPr="00063645">
        <w:rPr>
          <w:lang w:val="en-US"/>
        </w:rPr>
        <w:t xml:space="preserve">Extra care housing for sale = 30 x </w:t>
      </w:r>
      <w:r w:rsidR="00063645" w:rsidRPr="00063645">
        <w:rPr>
          <w:lang w:val="en-US"/>
        </w:rPr>
        <w:t xml:space="preserve">2.017 </w:t>
      </w:r>
      <w:r w:rsidRPr="00063645">
        <w:rPr>
          <w:lang w:val="en-US"/>
        </w:rPr>
        <w:t xml:space="preserve">= </w:t>
      </w:r>
      <w:r w:rsidR="00063645" w:rsidRPr="00063645">
        <w:rPr>
          <w:lang w:val="en-US"/>
        </w:rPr>
        <w:t>61</w:t>
      </w:r>
    </w:p>
    <w:p w14:paraId="1B75260A" w14:textId="01CC0782" w:rsidR="00201C53" w:rsidRPr="00063645" w:rsidRDefault="00201C53" w:rsidP="00252C91">
      <w:pPr>
        <w:pStyle w:val="ListBullet"/>
        <w:jc w:val="both"/>
        <w:rPr>
          <w:lang w:val="en-US"/>
        </w:rPr>
      </w:pPr>
      <w:r w:rsidRPr="00063645">
        <w:rPr>
          <w:lang w:val="en-US"/>
        </w:rPr>
        <w:t xml:space="preserve">Housing based provision for dementia = 6 x </w:t>
      </w:r>
      <w:r w:rsidR="00063645" w:rsidRPr="00063645">
        <w:rPr>
          <w:lang w:val="en-US"/>
        </w:rPr>
        <w:t xml:space="preserve">2.017 </w:t>
      </w:r>
      <w:r w:rsidRPr="00063645">
        <w:rPr>
          <w:lang w:val="en-US"/>
        </w:rPr>
        <w:t xml:space="preserve">= </w:t>
      </w:r>
      <w:r w:rsidR="00063645" w:rsidRPr="00063645">
        <w:rPr>
          <w:lang w:val="en-US"/>
        </w:rPr>
        <w:t>12</w:t>
      </w:r>
    </w:p>
    <w:p w14:paraId="78411004" w14:textId="77777777" w:rsidR="00201C53" w:rsidRDefault="00201C53" w:rsidP="00252C91">
      <w:pPr>
        <w:spacing w:line="276" w:lineRule="auto"/>
        <w:jc w:val="both"/>
        <w:rPr>
          <w:b/>
          <w:bCs/>
          <w:color w:val="000000" w:themeColor="text1"/>
          <w:lang w:val="en-US"/>
        </w:rPr>
      </w:pPr>
    </w:p>
    <w:p w14:paraId="7310671B" w14:textId="77777777" w:rsidR="00201C53" w:rsidRDefault="00201C53" w:rsidP="00252C91">
      <w:pPr>
        <w:tabs>
          <w:tab w:val="clear" w:pos="284"/>
        </w:tabs>
        <w:spacing w:line="240" w:lineRule="auto"/>
        <w:jc w:val="both"/>
        <w:rPr>
          <w:rFonts w:asciiTheme="majorHAnsi" w:eastAsiaTheme="majorEastAsia" w:hAnsiTheme="majorHAnsi" w:cstheme="majorBidi"/>
          <w:b/>
          <w:bCs/>
          <w:color w:val="00353E" w:themeColor="accent2"/>
          <w:sz w:val="48"/>
          <w:szCs w:val="28"/>
        </w:rPr>
      </w:pPr>
      <w:r>
        <w:br w:type="page"/>
      </w:r>
    </w:p>
    <w:p w14:paraId="5750682D" w14:textId="77777777" w:rsidR="00201C53" w:rsidRPr="009E1BB6" w:rsidRDefault="00201C53" w:rsidP="00252C91">
      <w:pPr>
        <w:pStyle w:val="Appendix"/>
        <w:numPr>
          <w:ilvl w:val="0"/>
          <w:numId w:val="22"/>
        </w:numPr>
        <w:jc w:val="both"/>
        <w:rPr>
          <w:color w:val="auto"/>
        </w:rPr>
      </w:pPr>
      <w:bookmarkStart w:id="239" w:name="_Toc170398401"/>
      <w:bookmarkStart w:id="240" w:name="_Toc185339921"/>
      <w:r w:rsidRPr="009E1BB6">
        <w:rPr>
          <w:color w:val="auto"/>
        </w:rPr>
        <w:lastRenderedPageBreak/>
        <w:t>: Housing Needs Assessment Glossary</w:t>
      </w:r>
      <w:bookmarkEnd w:id="233"/>
      <w:bookmarkEnd w:id="234"/>
      <w:bookmarkEnd w:id="235"/>
      <w:bookmarkEnd w:id="236"/>
      <w:bookmarkEnd w:id="239"/>
      <w:bookmarkEnd w:id="240"/>
    </w:p>
    <w:p w14:paraId="42B95971" w14:textId="77777777" w:rsidR="00201C53" w:rsidRPr="00A50BD6" w:rsidRDefault="00201C53" w:rsidP="00252C91">
      <w:pPr>
        <w:pStyle w:val="BodyText"/>
        <w:spacing w:line="276" w:lineRule="auto"/>
        <w:jc w:val="both"/>
        <w:rPr>
          <w:b/>
        </w:rPr>
      </w:pPr>
      <w:r w:rsidRPr="00A50BD6">
        <w:rPr>
          <w:b/>
        </w:rPr>
        <w:t>Adoption</w:t>
      </w:r>
    </w:p>
    <w:p w14:paraId="5BA92EBF" w14:textId="77777777" w:rsidR="00201C53" w:rsidRPr="00A50BD6" w:rsidRDefault="00201C53" w:rsidP="00252C91">
      <w:pPr>
        <w:pStyle w:val="BodyText"/>
        <w:spacing w:line="276" w:lineRule="auto"/>
        <w:jc w:val="both"/>
      </w:pPr>
      <w:r w:rsidRPr="00A50BD6">
        <w:t>This refers to the final confirmation of a local plan by a local planning authority.</w:t>
      </w:r>
    </w:p>
    <w:p w14:paraId="04734868" w14:textId="77777777" w:rsidR="00201C53" w:rsidRPr="00A50BD6" w:rsidRDefault="00201C53" w:rsidP="00252C91">
      <w:pPr>
        <w:pStyle w:val="BodyText"/>
        <w:spacing w:line="276" w:lineRule="auto"/>
        <w:jc w:val="both"/>
        <w:rPr>
          <w:b/>
        </w:rPr>
      </w:pPr>
      <w:r w:rsidRPr="00A50BD6">
        <w:rPr>
          <w:b/>
        </w:rPr>
        <w:t>Affordability</w:t>
      </w:r>
    </w:p>
    <w:p w14:paraId="55AD6A4A" w14:textId="77777777" w:rsidR="00201C53" w:rsidRPr="00A50BD6" w:rsidRDefault="00201C53" w:rsidP="00252C91">
      <w:pPr>
        <w:pStyle w:val="BodyText"/>
        <w:spacing w:line="276" w:lineRule="auto"/>
        <w:jc w:val="both"/>
      </w:pPr>
      <w:r w:rsidRPr="00A50BD6">
        <w:t xml:space="preserve">The terms ‘affordability’ and ‘affordable housing’ have different meanings. ‘Affordability’ is a measure of whether housing may be afforded by certain groups of households. ‘Affordable housing’ refers to </w:t>
      </w:r>
      <w:proofErr w:type="gramStart"/>
      <w:r w:rsidRPr="00A50BD6">
        <w:t>particular products</w:t>
      </w:r>
      <w:proofErr w:type="gramEnd"/>
      <w:r w:rsidRPr="00A50BD6">
        <w:t xml:space="preserve"> outside the main housing market. </w:t>
      </w:r>
    </w:p>
    <w:p w14:paraId="78D36EAC" w14:textId="77777777" w:rsidR="00201C53" w:rsidRPr="00A50BD6" w:rsidRDefault="00201C53" w:rsidP="00252C91">
      <w:pPr>
        <w:pStyle w:val="BodyText"/>
        <w:spacing w:line="276" w:lineRule="auto"/>
        <w:jc w:val="both"/>
        <w:rPr>
          <w:b/>
          <w:color w:val="4A4A49"/>
        </w:rPr>
      </w:pPr>
      <w:r w:rsidRPr="00A50BD6">
        <w:rPr>
          <w:b/>
        </w:rPr>
        <w:t>Affordability Ratio</w:t>
      </w:r>
    </w:p>
    <w:p w14:paraId="6249BBDC" w14:textId="77777777" w:rsidR="00201C53" w:rsidRPr="00A50BD6" w:rsidRDefault="00201C53" w:rsidP="00252C91">
      <w:pPr>
        <w:pStyle w:val="BodyText"/>
        <w:spacing w:line="276" w:lineRule="auto"/>
        <w:jc w:val="both"/>
      </w:pPr>
      <w:r w:rsidRPr="00A50BD6">
        <w:t>Assessing affordability involves comparing hous</w:t>
      </w:r>
      <w:r>
        <w:t>ing</w:t>
      </w:r>
      <w:r w:rsidRPr="00A50BD6">
        <w:t xml:space="preserve"> costs against the ability to pay. The ratio between lower quartile house prices and the lower quartile income or earnings can be used to assess the relative affordability of housing. The Ministry for Housing, Community and Local Governments publishes quarterly the ratio of lower quartile house price to lower quartile earnings by local authority (LQAR) as well as median house price to median earnings by local authority (MAR) e.g. income = £25,000, house price = £200,000.   House price: income ratio = £200,000/£25,000 = 8, (the house price is 8 times income).</w:t>
      </w:r>
    </w:p>
    <w:p w14:paraId="6BBCFD90" w14:textId="77777777" w:rsidR="004E3A02" w:rsidRPr="00434C10" w:rsidRDefault="004E3A02" w:rsidP="004E3A02">
      <w:pPr>
        <w:pStyle w:val="BodyText"/>
        <w:spacing w:line="276" w:lineRule="auto"/>
        <w:jc w:val="both"/>
        <w:rPr>
          <w:b/>
        </w:rPr>
      </w:pPr>
      <w:r w:rsidRPr="00434C10">
        <w:rPr>
          <w:b/>
        </w:rPr>
        <w:t>Affordable Housing (NPPF Definition)</w:t>
      </w:r>
    </w:p>
    <w:p w14:paraId="4C586862" w14:textId="77777777" w:rsidR="004E3A02" w:rsidRPr="00434C10" w:rsidRDefault="004E3A02" w:rsidP="004E3A02">
      <w:pPr>
        <w:pStyle w:val="BodyText"/>
        <w:spacing w:line="276" w:lineRule="auto"/>
        <w:jc w:val="both"/>
      </w:pPr>
      <w:r w:rsidRPr="00434C10">
        <w:t xml:space="preserve">Affordable housing: housing for sale or rent, for those whose needs are not met by the market (including housing that provides a subsidised route to home ownership and/or is for essential local workers); and which complies with one or more of the following definitions: </w:t>
      </w:r>
    </w:p>
    <w:p w14:paraId="76A9672B" w14:textId="77777777" w:rsidR="004E3A02" w:rsidRPr="00434C10" w:rsidRDefault="004E3A02" w:rsidP="004E3A02">
      <w:pPr>
        <w:pStyle w:val="BodyText"/>
        <w:spacing w:line="276" w:lineRule="auto"/>
        <w:jc w:val="both"/>
      </w:pPr>
      <w:r w:rsidRPr="00434C10">
        <w:t xml:space="preserve">a) Social Rent: meets </w:t>
      </w:r>
      <w:proofErr w:type="gramStart"/>
      <w:r w:rsidRPr="00434C10">
        <w:t>all of</w:t>
      </w:r>
      <w:proofErr w:type="gramEnd"/>
      <w:r w:rsidRPr="00434C10">
        <w:t xml:space="preserve"> the following conditions: (a) the rent is set in accordance with the Government’s rent policy for Social Rent; (b) the landlord is a registered provider; and (c) it includes provisions to remain at an affordable price for future eligible households, or for the subsidy to be recycled for alternative affordable housing provision. </w:t>
      </w:r>
    </w:p>
    <w:p w14:paraId="5BE7C837" w14:textId="77777777" w:rsidR="004E3A02" w:rsidRPr="00434C10" w:rsidRDefault="004E3A02" w:rsidP="004E3A02">
      <w:pPr>
        <w:pStyle w:val="BodyText"/>
        <w:spacing w:line="276" w:lineRule="auto"/>
        <w:jc w:val="both"/>
      </w:pPr>
      <w:r w:rsidRPr="00434C10">
        <w:t xml:space="preserve">b) Other affordable housing for rent: meets all of the following conditions: (a) the rent is set in accordance with the Government’s rent policy for affordable Rent, or is at least 20% below local market rents (including service charges where applicable); (b) the landlord is a registered provider, except where it is included as part of a Build to Rent scheme (in which case the landlord need not be a registered provider); and (c) it includes provisions to remain at an affordable price for future eligible households, or for the subsidy to be recycled for alternative affordable housing provision. For Build to Rent schemes affordable housing for rent is expected to be the normal form of affordable housing provision (and, in this context, is known as Affordable Private Rent). </w:t>
      </w:r>
    </w:p>
    <w:p w14:paraId="65F8DFE3" w14:textId="77777777" w:rsidR="004E3A02" w:rsidRPr="00434C10" w:rsidRDefault="004E3A02" w:rsidP="004E3A02">
      <w:pPr>
        <w:pStyle w:val="BodyText"/>
        <w:spacing w:line="276" w:lineRule="auto"/>
        <w:jc w:val="both"/>
      </w:pPr>
      <w:r w:rsidRPr="00434C10">
        <w:t xml:space="preserve">c) Discounted market </w:t>
      </w:r>
      <w:proofErr w:type="gramStart"/>
      <w:r w:rsidRPr="00434C10">
        <w:t>sales housing:</w:t>
      </w:r>
      <w:proofErr w:type="gramEnd"/>
      <w:r w:rsidRPr="00434C10">
        <w:t xml:space="preserve"> is that sold at a discount of at least 20% below local market value. Eligibility is determined </w:t>
      </w:r>
      <w:proofErr w:type="gramStart"/>
      <w:r w:rsidRPr="00434C10">
        <w:t>with regard to</w:t>
      </w:r>
      <w:proofErr w:type="gramEnd"/>
      <w:r w:rsidRPr="00434C10">
        <w:t xml:space="preserve"> local incomes and local house prices. Provisions should be in place to ensure housing remains at a discount for future eligible households. </w:t>
      </w:r>
    </w:p>
    <w:p w14:paraId="17B1F59D" w14:textId="77777777" w:rsidR="004E3A02" w:rsidRPr="00434C10" w:rsidRDefault="004E3A02" w:rsidP="004E3A02">
      <w:pPr>
        <w:pStyle w:val="BodyText"/>
        <w:spacing w:line="276" w:lineRule="auto"/>
        <w:jc w:val="both"/>
      </w:pPr>
      <w:r w:rsidRPr="00434C10">
        <w:lastRenderedPageBreak/>
        <w:t xml:space="preserve">d) Other affordable routes to home </w:t>
      </w:r>
      <w:proofErr w:type="gramStart"/>
      <w:r w:rsidRPr="00434C10">
        <w:t>ownership:</w:t>
      </w:r>
      <w:proofErr w:type="gramEnd"/>
      <w:r w:rsidRPr="00434C10">
        <w:t xml:space="preserve"> is housing provided for sale that provides a route to ownership for those who could not achieve home ownership through the market. It includes shared ownership, relevant equity loans, other </w:t>
      </w:r>
      <w:proofErr w:type="gramStart"/>
      <w:r w:rsidRPr="00434C10">
        <w:t>low cost</w:t>
      </w:r>
      <w:proofErr w:type="gramEnd"/>
      <w:r w:rsidRPr="00434C10">
        <w:t xml:space="preserve"> homes for sale (at a price equivalent to at least 20% below local market value) and rent to buy (which includes a period of intermediate rent). Where public grant funding is provided, there should be provisions for the homes to remain at an affordable price for future eligible households, or for any receipts to be recycled for alternative affordable housing </w:t>
      </w:r>
      <w:proofErr w:type="gramStart"/>
      <w:r w:rsidRPr="00434C10">
        <w:t>provision, or</w:t>
      </w:r>
      <w:proofErr w:type="gramEnd"/>
      <w:r w:rsidRPr="00434C10">
        <w:t xml:space="preserve"> refunded to Government or the relevant authority specified in the funding agreement.</w:t>
      </w:r>
    </w:p>
    <w:p w14:paraId="21283BF6" w14:textId="77777777" w:rsidR="004E3A02" w:rsidRPr="00434C10" w:rsidRDefault="004E3A02" w:rsidP="004E3A02">
      <w:pPr>
        <w:pStyle w:val="BodyText"/>
        <w:spacing w:line="276" w:lineRule="auto"/>
        <w:jc w:val="both"/>
        <w:rPr>
          <w:b/>
        </w:rPr>
      </w:pPr>
      <w:r w:rsidRPr="00434C10">
        <w:rPr>
          <w:b/>
        </w:rPr>
        <w:t>Affordable rented housing</w:t>
      </w:r>
    </w:p>
    <w:p w14:paraId="1F91217D" w14:textId="77777777" w:rsidR="004E3A02" w:rsidRPr="00A50BD6" w:rsidRDefault="004E3A02" w:rsidP="004E3A02">
      <w:pPr>
        <w:pStyle w:val="BodyText"/>
        <w:spacing w:line="276" w:lineRule="auto"/>
        <w:jc w:val="both"/>
      </w:pPr>
      <w:r w:rsidRPr="00434C10">
        <w:t xml:space="preserve">Rented housing let by registered providers of social housing to households who are eligible for social rented housing. Affordable Rent is not subject to the national rent regime but is subject to other rent controls that require a rent of no more than 80% of the local market rent (including service charges, where applicable). The national rent regime is the regime under which the social rents of tenants of social housing are set, with </w:t>
      </w:r>
      <w:proofErr w:type="gramStart"/>
      <w:r w:rsidRPr="00434C10">
        <w:t>particular reference</w:t>
      </w:r>
      <w:proofErr w:type="gramEnd"/>
      <w:r w:rsidRPr="00434C10">
        <w:t xml:space="preserve"> to the Guide to Social Rent Reforms (March 2001) and the Rent Influencing Regime Guidance (October 2001). Local market rents are calculated using the Royal Institution for Chartered Surveyors (RICS) approved valuation methods</w:t>
      </w:r>
      <w:r w:rsidRPr="00434C10">
        <w:rPr>
          <w:rStyle w:val="FootnoteReference"/>
        </w:rPr>
        <w:footnoteReference w:id="20"/>
      </w:r>
      <w:r w:rsidRPr="00434C10">
        <w:t>.</w:t>
      </w:r>
      <w:r w:rsidRPr="00A50BD6">
        <w:t xml:space="preserve"> </w:t>
      </w:r>
    </w:p>
    <w:p w14:paraId="5CBE36E8" w14:textId="77777777" w:rsidR="00201C53" w:rsidRDefault="00201C53" w:rsidP="00252C91">
      <w:pPr>
        <w:pStyle w:val="BodyText"/>
        <w:spacing w:line="276" w:lineRule="auto"/>
        <w:jc w:val="both"/>
        <w:rPr>
          <w:b/>
        </w:rPr>
      </w:pPr>
      <w:r w:rsidRPr="00047BE3">
        <w:rPr>
          <w:b/>
        </w:rPr>
        <w:t>Age-Restricted General Market Housin</w:t>
      </w:r>
      <w:r>
        <w:rPr>
          <w:b/>
        </w:rPr>
        <w:t>g</w:t>
      </w:r>
    </w:p>
    <w:p w14:paraId="084D47D0" w14:textId="77777777" w:rsidR="00201C53" w:rsidRPr="00047BE3" w:rsidRDefault="00201C53" w:rsidP="00252C91">
      <w:pPr>
        <w:pStyle w:val="BodyText"/>
        <w:spacing w:line="276" w:lineRule="auto"/>
        <w:jc w:val="both"/>
      </w:pPr>
      <w:r>
        <w:t>A</w:t>
      </w:r>
      <w:r w:rsidRPr="00047BE3">
        <w:t xml:space="preserve"> type of housing </w:t>
      </w:r>
      <w:r>
        <w:t xml:space="preserve">which </w:t>
      </w:r>
      <w:r w:rsidRPr="00047BE3">
        <w:t xml:space="preserve">is generally for people aged 55 and over and active </w:t>
      </w:r>
      <w:r>
        <w:t>older people</w:t>
      </w:r>
      <w:r w:rsidRPr="00047BE3">
        <w:t>. It may include some shared amenities such as communal gardens but does not include support or care services.</w:t>
      </w:r>
    </w:p>
    <w:p w14:paraId="17C8AEC3" w14:textId="77777777" w:rsidR="00201C53" w:rsidRPr="00A50BD6" w:rsidRDefault="00201C53" w:rsidP="00252C91">
      <w:pPr>
        <w:pStyle w:val="BodyText"/>
        <w:spacing w:line="276" w:lineRule="auto"/>
        <w:jc w:val="both"/>
        <w:rPr>
          <w:b/>
        </w:rPr>
      </w:pPr>
      <w:r w:rsidRPr="00A50BD6">
        <w:rPr>
          <w:b/>
        </w:rPr>
        <w:t>Annual Monitoring Report</w:t>
      </w:r>
    </w:p>
    <w:p w14:paraId="08E52B29" w14:textId="77777777" w:rsidR="00201C53" w:rsidRPr="00A50BD6" w:rsidRDefault="00201C53" w:rsidP="00252C91">
      <w:pPr>
        <w:pStyle w:val="BodyText"/>
        <w:spacing w:line="276" w:lineRule="auto"/>
        <w:jc w:val="both"/>
      </w:pPr>
      <w:r w:rsidRPr="00A50BD6">
        <w:t>A report submitted to the Government by local planning authorities assessing progress with and the effectiveness of a Local Development Framework.</w:t>
      </w:r>
    </w:p>
    <w:p w14:paraId="5AB57FD6" w14:textId="77777777" w:rsidR="00201C53" w:rsidRPr="00A50BD6" w:rsidRDefault="00201C53" w:rsidP="00252C91">
      <w:pPr>
        <w:pStyle w:val="BodyText"/>
        <w:spacing w:line="276" w:lineRule="auto"/>
        <w:jc w:val="both"/>
        <w:rPr>
          <w:b/>
        </w:rPr>
      </w:pPr>
      <w:r w:rsidRPr="00A50BD6">
        <w:rPr>
          <w:b/>
        </w:rPr>
        <w:t xml:space="preserve">Basic Conditions </w:t>
      </w:r>
    </w:p>
    <w:p w14:paraId="7FF61A91" w14:textId="77777777" w:rsidR="00201C53" w:rsidRPr="00A50BD6" w:rsidRDefault="00201C53" w:rsidP="00252C91">
      <w:pPr>
        <w:pStyle w:val="BodyText"/>
        <w:spacing w:line="276" w:lineRule="auto"/>
        <w:jc w:val="both"/>
      </w:pPr>
      <w:r w:rsidRPr="008D49A0">
        <w:t>The Basic Conditions are the legal tests that are considered at the examination stage of neighbourhood development plans. They need to be met before a plan can progress to referendum</w:t>
      </w:r>
      <w:r w:rsidRPr="00A50BD6">
        <w:t xml:space="preserve">. </w:t>
      </w:r>
    </w:p>
    <w:p w14:paraId="1F66271C" w14:textId="77777777" w:rsidR="00201C53" w:rsidRPr="00A50BD6" w:rsidRDefault="00201C53" w:rsidP="00252C91">
      <w:pPr>
        <w:spacing w:line="276" w:lineRule="auto"/>
        <w:jc w:val="both"/>
        <w:rPr>
          <w:b/>
        </w:rPr>
      </w:pPr>
      <w:r w:rsidRPr="00A50BD6">
        <w:rPr>
          <w:b/>
        </w:rPr>
        <w:t>Backlog need</w:t>
      </w:r>
    </w:p>
    <w:p w14:paraId="2CF72F85" w14:textId="77777777" w:rsidR="00201C53" w:rsidRPr="00A50BD6" w:rsidRDefault="00201C53" w:rsidP="00252C91">
      <w:pPr>
        <w:pStyle w:val="BodyText"/>
        <w:spacing w:line="276" w:lineRule="auto"/>
        <w:jc w:val="both"/>
      </w:pPr>
      <w:r w:rsidRPr="00A50BD6">
        <w:t xml:space="preserve">The backlog need constitutes those households who are eligible for Affordable Housing, on account of homelessness, over-crowding, concealment or affordability, but who are yet to be offered a home suited to their needs. </w:t>
      </w:r>
    </w:p>
    <w:p w14:paraId="21E6CCB2" w14:textId="77777777" w:rsidR="00201C53" w:rsidRPr="00A50BD6" w:rsidRDefault="00201C53" w:rsidP="00252C91">
      <w:pPr>
        <w:spacing w:line="276" w:lineRule="auto"/>
        <w:jc w:val="both"/>
      </w:pPr>
      <w:r w:rsidRPr="00A50BD6">
        <w:rPr>
          <w:b/>
        </w:rPr>
        <w:t>Bedroom Standard</w:t>
      </w:r>
      <w:r w:rsidRPr="00A50BD6">
        <w:rPr>
          <w:rStyle w:val="FootnoteReference"/>
          <w:b/>
        </w:rPr>
        <w:footnoteReference w:id="21"/>
      </w:r>
    </w:p>
    <w:p w14:paraId="536E3967" w14:textId="7A6C53CF" w:rsidR="00C639E2" w:rsidRDefault="00201C53" w:rsidP="00252C91">
      <w:pPr>
        <w:pStyle w:val="BodyText"/>
        <w:spacing w:line="276" w:lineRule="auto"/>
        <w:jc w:val="both"/>
      </w:pPr>
      <w:r w:rsidRPr="00A50BD6">
        <w:t>The bedroom standard is a measure of occupancy (whether a property is overcrowded or under</w:t>
      </w:r>
      <w:r w:rsidRPr="00A50BD6">
        <w:rPr>
          <w:rFonts w:ascii="Cambria Math" w:hAnsi="Cambria Math" w:cs="Cambria Math"/>
        </w:rPr>
        <w:t>‐</w:t>
      </w:r>
      <w:r w:rsidRPr="00A50BD6">
        <w:t xml:space="preserve">occupied, based on the number of bedrooms in a property and the type of household in residence). The Census overcrowding data is based on occupancy rating (overcrowding by number of rooms not including bathrooms and hallways). This tends to produce higher levels </w:t>
      </w:r>
      <w:r w:rsidRPr="00A50BD6">
        <w:lastRenderedPageBreak/>
        <w:t>of overcrowding/ under occupation. A detailed definition of the standard is given in the Glossary of the EHS Household Report.</w:t>
      </w:r>
    </w:p>
    <w:p w14:paraId="0BA55263" w14:textId="77777777" w:rsidR="00201C53" w:rsidRPr="00A50BD6" w:rsidRDefault="00201C53" w:rsidP="00252C91">
      <w:pPr>
        <w:pStyle w:val="BodyText"/>
        <w:spacing w:line="276" w:lineRule="auto"/>
        <w:jc w:val="both"/>
        <w:rPr>
          <w:b/>
        </w:rPr>
      </w:pPr>
      <w:r w:rsidRPr="00A50BD6">
        <w:rPr>
          <w:b/>
        </w:rPr>
        <w:t>Co-living</w:t>
      </w:r>
    </w:p>
    <w:p w14:paraId="60564C3F" w14:textId="77777777" w:rsidR="00201C53" w:rsidRDefault="00201C53" w:rsidP="00252C91">
      <w:pPr>
        <w:pStyle w:val="BodyText"/>
        <w:spacing w:line="276" w:lineRule="auto"/>
        <w:jc w:val="both"/>
      </w:pPr>
      <w:r w:rsidRPr="00A50BD6">
        <w:t xml:space="preserve">Co-living denotes people who do not have family ties sharing either a self-contained dwelling (i.e., a 'house share') or new development akin to student housing in which people have a bedroom and bathroom to themselves, but share living and kitchen space with others. In co-living schemes </w:t>
      </w:r>
      <w:proofErr w:type="gramStart"/>
      <w:r w:rsidRPr="00A50BD6">
        <w:t>each individual</w:t>
      </w:r>
      <w:proofErr w:type="gramEnd"/>
      <w:r w:rsidRPr="00A50BD6">
        <w:t xml:space="preserve"> represents a separate 'household'.</w:t>
      </w:r>
    </w:p>
    <w:p w14:paraId="42DDD357" w14:textId="77777777" w:rsidR="00210FE1" w:rsidRPr="00434C10" w:rsidRDefault="00210FE1" w:rsidP="00210FE1">
      <w:pPr>
        <w:pStyle w:val="BodyText"/>
        <w:spacing w:line="276" w:lineRule="auto"/>
        <w:jc w:val="both"/>
        <w:rPr>
          <w:b/>
          <w:bCs/>
        </w:rPr>
      </w:pPr>
      <w:r w:rsidRPr="00434C10">
        <w:rPr>
          <w:b/>
          <w:bCs/>
        </w:rPr>
        <w:t>Community-led developments (NPPF definition)</w:t>
      </w:r>
    </w:p>
    <w:p w14:paraId="53017D42" w14:textId="77777777" w:rsidR="00210FE1" w:rsidRPr="00434C10" w:rsidRDefault="00210FE1" w:rsidP="00210FE1">
      <w:pPr>
        <w:pStyle w:val="BodyText"/>
        <w:spacing w:line="276" w:lineRule="auto"/>
        <w:jc w:val="both"/>
      </w:pPr>
      <w:r w:rsidRPr="00434C10">
        <w:t>A development taken forward by, or with, a not-for-profit organisation, that is primarily for the purpose of meeting the needs of its members or the wider local community, rather than being a primarily commercial enterprise. The organisation should be created, managed and democratically controlled by its members, and membership of the organisation should be open to all beneficiaries and prospective beneficiaries of that organisation. It may take any one of various legal forms including a co-operative society, community benefit society and company limited by guarantee. The organisation should own, manage or steward the development in a manner consistent with its purpose, potentially through a mutually supported arrangement with a Registered Provider of Social Housing. The benefits of the development to the community should be clearly defined and consideration given to how those benefits can be protected over time, including in the event of the organisation being wound up.</w:t>
      </w:r>
    </w:p>
    <w:p w14:paraId="7B2F1FD8" w14:textId="77777777" w:rsidR="00210FE1" w:rsidRPr="00434C10" w:rsidRDefault="00210FE1" w:rsidP="00210FE1">
      <w:pPr>
        <w:pStyle w:val="BodyText"/>
        <w:spacing w:line="276" w:lineRule="auto"/>
        <w:jc w:val="both"/>
        <w:rPr>
          <w:b/>
        </w:rPr>
      </w:pPr>
      <w:r w:rsidRPr="00434C10">
        <w:rPr>
          <w:b/>
        </w:rPr>
        <w:t>Community Right to Build Order</w:t>
      </w:r>
    </w:p>
    <w:p w14:paraId="59E59DA0" w14:textId="77777777" w:rsidR="00210FE1" w:rsidRDefault="00210FE1" w:rsidP="00210FE1">
      <w:pPr>
        <w:pStyle w:val="BodyText"/>
        <w:spacing w:line="276" w:lineRule="auto"/>
        <w:jc w:val="both"/>
      </w:pPr>
      <w:r w:rsidRPr="00434C10">
        <w:t xml:space="preserve">A community right to build order is a special kind of neighbourhood development order, granting planning permission for small community development schemes, such as housing or new community facilities. Local community organisations that meet certain requirements or parish/town councils </w:t>
      </w:r>
      <w:proofErr w:type="gramStart"/>
      <w:r w:rsidRPr="00434C10">
        <w:t>are able to</w:t>
      </w:r>
      <w:proofErr w:type="gramEnd"/>
      <w:r w:rsidRPr="00434C10">
        <w:t xml:space="preserve"> prepare community right to build orders. The NPPF 2024 specifically defines it as follows: An Order made by the local planning authority (under the Town and Country Planning Act 1990) that grants planning permission for a </w:t>
      </w:r>
      <w:proofErr w:type="spellStart"/>
      <w:r w:rsidRPr="00434C10">
        <w:t>sitespecific</w:t>
      </w:r>
      <w:proofErr w:type="spellEnd"/>
      <w:r w:rsidRPr="00434C10">
        <w:t xml:space="preserve"> development proposal or classes of development.</w:t>
      </w:r>
    </w:p>
    <w:p w14:paraId="340319AD" w14:textId="77777777" w:rsidR="00201C53" w:rsidRPr="00A50BD6" w:rsidRDefault="00201C53" w:rsidP="00252C91">
      <w:pPr>
        <w:pStyle w:val="BodyText"/>
        <w:spacing w:line="276" w:lineRule="auto"/>
        <w:jc w:val="both"/>
        <w:rPr>
          <w:b/>
        </w:rPr>
      </w:pPr>
      <w:r w:rsidRPr="00A50BD6">
        <w:rPr>
          <w:b/>
        </w:rPr>
        <w:t>Concealed Fami</w:t>
      </w:r>
      <w:r>
        <w:rPr>
          <w:b/>
        </w:rPr>
        <w:t>lies (Census d</w:t>
      </w:r>
      <w:r w:rsidRPr="00A50BD6">
        <w:rPr>
          <w:b/>
        </w:rPr>
        <w:t>efinition)</w:t>
      </w:r>
      <w:r w:rsidRPr="00A50BD6">
        <w:rPr>
          <w:rStyle w:val="FootnoteReference"/>
          <w:b/>
        </w:rPr>
        <w:footnoteReference w:id="22"/>
      </w:r>
    </w:p>
    <w:p w14:paraId="75FCCF52" w14:textId="77777777" w:rsidR="00201C53" w:rsidRDefault="00201C53" w:rsidP="00252C91">
      <w:pPr>
        <w:pStyle w:val="BodyText"/>
        <w:spacing w:line="276" w:lineRule="auto"/>
        <w:jc w:val="both"/>
      </w:pPr>
      <w:r w:rsidRPr="00A50BD6">
        <w:t xml:space="preserve">The 2011 Census defined a concealed family as one with young adults living with a partner and/or child/children in the same household as their parents, older couples living with an adult child and their family or unrelated families sharing a household. A single person cannot be a concealed family; </w:t>
      </w:r>
      <w:proofErr w:type="gramStart"/>
      <w:r w:rsidRPr="00A50BD6">
        <w:t>therefore</w:t>
      </w:r>
      <w:proofErr w:type="gramEnd"/>
      <w:r w:rsidRPr="00A50BD6">
        <w:t xml:space="preserve"> one </w:t>
      </w:r>
      <w:r>
        <w:t>older</w:t>
      </w:r>
      <w:r w:rsidRPr="00A50BD6">
        <w:t xml:space="preserve"> parent living with their adult child and family or an adult child returning to the parental home is not a concealed family; the latter are reported in an ONS analysis on increasing numbers of young adults living with parents.</w:t>
      </w:r>
    </w:p>
    <w:p w14:paraId="7EAA75F2" w14:textId="77777777" w:rsidR="00201C53" w:rsidRPr="00A50BD6" w:rsidRDefault="00201C53" w:rsidP="00252C91">
      <w:pPr>
        <w:pStyle w:val="BodyText"/>
        <w:spacing w:line="276" w:lineRule="auto"/>
        <w:jc w:val="both"/>
        <w:rPr>
          <w:b/>
        </w:rPr>
      </w:pPr>
      <w:r w:rsidRPr="00A50BD6">
        <w:rPr>
          <w:b/>
        </w:rPr>
        <w:t>Equity Loans/Shared Equity</w:t>
      </w:r>
    </w:p>
    <w:p w14:paraId="6C7BBA2D" w14:textId="77777777" w:rsidR="00201C53" w:rsidRDefault="00201C53" w:rsidP="00252C91">
      <w:pPr>
        <w:pStyle w:val="BodyText"/>
        <w:spacing w:line="276" w:lineRule="auto"/>
        <w:jc w:val="both"/>
      </w:pPr>
      <w:r w:rsidRPr="00A50BD6">
        <w:t xml:space="preserve">An equity loan which acts as a second charge on a property. For example, a household buys a £200,000 property with a 10% equity loan (£20,000). They pay a small amount for the loan and when the property is sold e.g. for £250,000 the lender receives 10% of the sale cost </w:t>
      </w:r>
      <w:r w:rsidRPr="00A50BD6">
        <w:lastRenderedPageBreak/>
        <w:t>(£25,000). Some equity loans were available for the purchase of existing stock. The current scheme is to assist people to buy new build.</w:t>
      </w:r>
    </w:p>
    <w:p w14:paraId="61A23486" w14:textId="77777777" w:rsidR="00201C53" w:rsidRPr="00A50BD6" w:rsidRDefault="00201C53" w:rsidP="00252C91">
      <w:pPr>
        <w:pStyle w:val="BodyText"/>
        <w:spacing w:line="276" w:lineRule="auto"/>
        <w:jc w:val="both"/>
      </w:pPr>
    </w:p>
    <w:p w14:paraId="26C5F357" w14:textId="77777777" w:rsidR="00201C53" w:rsidRDefault="00201C53" w:rsidP="00252C91">
      <w:pPr>
        <w:pStyle w:val="BodyText"/>
        <w:spacing w:line="276" w:lineRule="auto"/>
        <w:jc w:val="both"/>
        <w:rPr>
          <w:b/>
        </w:rPr>
      </w:pPr>
      <w:r w:rsidRPr="00047BE3">
        <w:rPr>
          <w:b/>
        </w:rPr>
        <w:t xml:space="preserve">Extra Care Housing </w:t>
      </w:r>
      <w:r>
        <w:rPr>
          <w:b/>
        </w:rPr>
        <w:t>o</w:t>
      </w:r>
      <w:r w:rsidRPr="00047BE3">
        <w:rPr>
          <w:b/>
        </w:rPr>
        <w:t>r Housing-With-Care</w:t>
      </w:r>
    </w:p>
    <w:p w14:paraId="13151159" w14:textId="77777777" w:rsidR="00201C53" w:rsidRPr="00047BE3" w:rsidRDefault="00201C53" w:rsidP="00252C91">
      <w:pPr>
        <w:pStyle w:val="BodyText"/>
        <w:spacing w:line="276" w:lineRule="auto"/>
        <w:jc w:val="both"/>
      </w:pPr>
      <w:r>
        <w:t xml:space="preserve">Housing which </w:t>
      </w:r>
      <w:r w:rsidRPr="00047BE3">
        <w:t xml:space="preserve">usually consists of purpose-built or adapted flats or bungalows with a medium to high level of care available if required, through an onsite care agency registered through the Care Quality Commission (CQC). Residents are able to live independently with </w:t>
      </w:r>
      <w:proofErr w:type="gramStart"/>
      <w:r w:rsidRPr="00047BE3">
        <w:t>24 hour</w:t>
      </w:r>
      <w:proofErr w:type="gramEnd"/>
      <w:r w:rsidRPr="00047BE3">
        <w:t xml:space="preserve"> access to support services and staff, and meals are also available. There are often extensive communal areas, such as space to socialise or a wellbeing centre. In some cases, these developments are </w:t>
      </w:r>
      <w:r>
        <w:t>included in</w:t>
      </w:r>
      <w:r w:rsidRPr="00047BE3">
        <w:t xml:space="preserve"> retirement communities or villages - the intention is for residents to benefit from varying levels of care as time progresses.</w:t>
      </w:r>
    </w:p>
    <w:p w14:paraId="2A473469" w14:textId="77777777" w:rsidR="00201C53" w:rsidRPr="00A50BD6" w:rsidRDefault="00201C53" w:rsidP="00252C91">
      <w:pPr>
        <w:pStyle w:val="BodyText"/>
        <w:spacing w:line="276" w:lineRule="auto"/>
        <w:jc w:val="both"/>
        <w:rPr>
          <w:b/>
        </w:rPr>
      </w:pPr>
      <w:r w:rsidRPr="00A50BD6">
        <w:rPr>
          <w:b/>
        </w:rPr>
        <w:t>Fair Share</w:t>
      </w:r>
    </w:p>
    <w:p w14:paraId="08B27903" w14:textId="77777777" w:rsidR="00201C53" w:rsidRDefault="00201C53" w:rsidP="00252C91">
      <w:pPr>
        <w:pStyle w:val="BodyText"/>
        <w:spacing w:line="276" w:lineRule="auto"/>
        <w:jc w:val="both"/>
      </w:pPr>
      <w:r w:rsidRPr="00A50BD6">
        <w:t xml:space="preserve">'Fair share' is an approach to determining housing need within a given geographical area based on a proportional split according to the size of the area, the number of </w:t>
      </w:r>
      <w:r>
        <w:t>homes in it, or its population.</w:t>
      </w:r>
    </w:p>
    <w:p w14:paraId="754F727D" w14:textId="77777777" w:rsidR="008E4884" w:rsidRPr="00434C10" w:rsidRDefault="008E4884" w:rsidP="008E4884">
      <w:pPr>
        <w:pStyle w:val="BodyText"/>
        <w:spacing w:line="276" w:lineRule="auto"/>
        <w:jc w:val="both"/>
        <w:rPr>
          <w:b/>
        </w:rPr>
      </w:pPr>
      <w:bookmarkStart w:id="241" w:name="_Hlk49951138"/>
      <w:r w:rsidRPr="00434C10">
        <w:rPr>
          <w:b/>
        </w:rPr>
        <w:t>First Homes</w:t>
      </w:r>
    </w:p>
    <w:p w14:paraId="03E80ADE" w14:textId="77777777" w:rsidR="008E4884" w:rsidRPr="005A1B2B" w:rsidRDefault="008E4884" w:rsidP="008E4884">
      <w:pPr>
        <w:pStyle w:val="BodyText"/>
        <w:spacing w:line="276" w:lineRule="auto"/>
        <w:jc w:val="both"/>
      </w:pPr>
      <w:r w:rsidRPr="00434C10">
        <w:t xml:space="preserve">First Homes is another form of discounted market housing which will provide a discount of at least 30% on the price of new homes, introduced in 2021. These homes are available to first time buyers as a </w:t>
      </w:r>
      <w:proofErr w:type="gramStart"/>
      <w:r w:rsidRPr="00434C10">
        <w:t>priority</w:t>
      </w:r>
      <w:proofErr w:type="gramEnd"/>
      <w:r w:rsidRPr="00434C10">
        <w:t xml:space="preserve"> but other households will be eligible depending on agreed criteria. A more detailed explanation of First Homes and its implications is provided in the main body of the HNA.</w:t>
      </w:r>
      <w:r>
        <w:t xml:space="preserve"> </w:t>
      </w:r>
    </w:p>
    <w:bookmarkEnd w:id="241"/>
    <w:p w14:paraId="20CA6AE3" w14:textId="77777777" w:rsidR="00201C53" w:rsidRPr="00A50BD6" w:rsidRDefault="00201C53" w:rsidP="00252C91">
      <w:pPr>
        <w:pStyle w:val="BodyText"/>
        <w:spacing w:line="276" w:lineRule="auto"/>
        <w:jc w:val="both"/>
        <w:rPr>
          <w:b/>
        </w:rPr>
      </w:pPr>
      <w:r w:rsidRPr="00A50BD6">
        <w:rPr>
          <w:b/>
        </w:rPr>
        <w:t>Habitable Rooms</w:t>
      </w:r>
    </w:p>
    <w:p w14:paraId="107359A3" w14:textId="77777777" w:rsidR="00201C53" w:rsidRPr="00A50BD6" w:rsidRDefault="00201C53" w:rsidP="00252C91">
      <w:pPr>
        <w:pStyle w:val="BodyText"/>
        <w:spacing w:line="276" w:lineRule="auto"/>
        <w:jc w:val="both"/>
      </w:pPr>
      <w:r w:rsidRPr="00A50BD6">
        <w:t>The number of habitable rooms in a home is the total number of rooms, excluding bathrooms, toilets and halls.</w:t>
      </w:r>
    </w:p>
    <w:p w14:paraId="34428D85" w14:textId="77777777" w:rsidR="00201C53" w:rsidRPr="00A50BD6" w:rsidRDefault="00201C53" w:rsidP="00252C91">
      <w:pPr>
        <w:pStyle w:val="BodyText"/>
        <w:spacing w:line="276" w:lineRule="auto"/>
        <w:jc w:val="both"/>
        <w:rPr>
          <w:b/>
        </w:rPr>
      </w:pPr>
      <w:r w:rsidRPr="00A50BD6">
        <w:rPr>
          <w:b/>
        </w:rPr>
        <w:t>Household Reference Person (HRP)</w:t>
      </w:r>
    </w:p>
    <w:p w14:paraId="783BEFD8" w14:textId="77777777" w:rsidR="00201C53" w:rsidRPr="00A50BD6" w:rsidRDefault="00201C53" w:rsidP="00252C91">
      <w:pPr>
        <w:pStyle w:val="BodyText"/>
        <w:spacing w:line="276" w:lineRule="auto"/>
        <w:jc w:val="both"/>
      </w:pPr>
      <w:r w:rsidRPr="00A50BD6">
        <w:t xml:space="preserve">The concept of a Household Reference Person (HRP) was introduced in the 2001 Census (in common with other government surveys in 2001/2) to replace the traditional concept of the head of the household. HRPs provide an individual person within a household to act as a reference point for producing further derived statistics and for characterising a whole household according to characteristics of the chosen reference person. </w:t>
      </w:r>
    </w:p>
    <w:p w14:paraId="2E6D2B14" w14:textId="77777777" w:rsidR="00201C53" w:rsidRPr="00A50BD6" w:rsidRDefault="00201C53" w:rsidP="00252C91">
      <w:pPr>
        <w:pStyle w:val="BodyText"/>
        <w:spacing w:line="276" w:lineRule="auto"/>
        <w:jc w:val="both"/>
        <w:rPr>
          <w:b/>
        </w:rPr>
      </w:pPr>
      <w:r w:rsidRPr="00A50BD6">
        <w:rPr>
          <w:b/>
        </w:rPr>
        <w:t xml:space="preserve">Housing Market Area </w:t>
      </w:r>
    </w:p>
    <w:p w14:paraId="2D1A709D" w14:textId="77777777" w:rsidR="00201C53" w:rsidRPr="00A50BD6" w:rsidRDefault="00201C53" w:rsidP="00252C91">
      <w:pPr>
        <w:pStyle w:val="BodyText"/>
        <w:spacing w:line="276" w:lineRule="auto"/>
        <w:jc w:val="both"/>
      </w:pPr>
      <w:r w:rsidRPr="00A50BD6">
        <w:t>A housing market area is a geographical area defined by household demand and preferences for all types of housing, reflecting the key functional linkages between places where people live and work. It might be the case that housing market areas overlap.</w:t>
      </w:r>
    </w:p>
    <w:p w14:paraId="5B5F349A" w14:textId="668C5F91" w:rsidR="00C639E2" w:rsidRPr="00A50BD6" w:rsidRDefault="00201C53" w:rsidP="00252C91">
      <w:pPr>
        <w:pStyle w:val="BodyText"/>
        <w:spacing w:line="276" w:lineRule="auto"/>
        <w:jc w:val="both"/>
      </w:pPr>
      <w:r w:rsidRPr="00A50BD6">
        <w:t>The extent of the housing market areas identified will vary, and many will in practice cut across various local planning authority administrative boundaries. Local planning authorities should work with all the other constituent authorities under the duty to cooperate.</w:t>
      </w:r>
    </w:p>
    <w:p w14:paraId="14E2B681" w14:textId="77777777" w:rsidR="00F72D5A" w:rsidRPr="00434C10" w:rsidRDefault="00F72D5A" w:rsidP="00F72D5A">
      <w:pPr>
        <w:pStyle w:val="BodyText"/>
        <w:spacing w:line="276" w:lineRule="auto"/>
        <w:jc w:val="both"/>
        <w:rPr>
          <w:b/>
        </w:rPr>
      </w:pPr>
      <w:r w:rsidRPr="00434C10">
        <w:rPr>
          <w:b/>
        </w:rPr>
        <w:lastRenderedPageBreak/>
        <w:t>Housing Need (NPPG 2024 definition)</w:t>
      </w:r>
    </w:p>
    <w:p w14:paraId="5880412A" w14:textId="77777777" w:rsidR="00F72D5A" w:rsidRPr="000F3A77" w:rsidRDefault="00F72D5A" w:rsidP="00F72D5A">
      <w:pPr>
        <w:pStyle w:val="BodyText"/>
        <w:spacing w:line="276" w:lineRule="auto"/>
        <w:jc w:val="both"/>
        <w:rPr>
          <w:szCs w:val="24"/>
        </w:rPr>
      </w:pPr>
      <w:r w:rsidRPr="00434C10">
        <w:rPr>
          <w:rFonts w:ascii="Arial" w:hAnsi="Arial" w:cs="Arial"/>
          <w:color w:val="0B0C0C"/>
          <w:szCs w:val="24"/>
          <w:shd w:val="clear" w:color="auto" w:fill="FFFFFF"/>
        </w:rPr>
        <w:t>Housing need is an unconstrained assessment of the minimum number of homes needed in an area. Assessing housing need is the first step in the process of deciding how many homes need to be planned for. It should be undertaken separately from assessing land availability, establishing a housing requirement figure and preparing policies to address this such as site allocations.</w:t>
      </w:r>
    </w:p>
    <w:p w14:paraId="1B4F18D8" w14:textId="77777777" w:rsidR="00201C53" w:rsidRPr="00A50BD6" w:rsidRDefault="00201C53" w:rsidP="00252C91">
      <w:pPr>
        <w:pStyle w:val="BodyText"/>
        <w:spacing w:line="276" w:lineRule="auto"/>
        <w:jc w:val="both"/>
        <w:rPr>
          <w:b/>
        </w:rPr>
      </w:pPr>
      <w:r w:rsidRPr="00A50BD6">
        <w:rPr>
          <w:b/>
        </w:rPr>
        <w:t>Housing Needs Assessment</w:t>
      </w:r>
    </w:p>
    <w:p w14:paraId="4478D75B" w14:textId="77777777" w:rsidR="00201C53" w:rsidRDefault="00201C53" w:rsidP="00252C91">
      <w:pPr>
        <w:pStyle w:val="BodyText"/>
        <w:spacing w:line="276" w:lineRule="auto"/>
        <w:jc w:val="both"/>
      </w:pPr>
      <w:r w:rsidRPr="00A50BD6">
        <w:t>A Housing Needs Assessment (HNA) is an assessment of housing needs at the Neighbourhood Area level.</w:t>
      </w:r>
    </w:p>
    <w:p w14:paraId="6AEAA36F" w14:textId="77777777" w:rsidR="00201C53" w:rsidRPr="00A50BD6" w:rsidRDefault="00201C53" w:rsidP="00252C91">
      <w:pPr>
        <w:pStyle w:val="BodyText"/>
        <w:spacing w:line="276" w:lineRule="auto"/>
        <w:jc w:val="both"/>
        <w:rPr>
          <w:b/>
        </w:rPr>
      </w:pPr>
      <w:r w:rsidRPr="00A50BD6">
        <w:rPr>
          <w:b/>
        </w:rPr>
        <w:t>Housing Products</w:t>
      </w:r>
    </w:p>
    <w:p w14:paraId="468CD04F" w14:textId="77777777" w:rsidR="00201C53" w:rsidRDefault="00201C53" w:rsidP="00252C91">
      <w:pPr>
        <w:pStyle w:val="BodyText"/>
        <w:spacing w:line="276" w:lineRule="auto"/>
        <w:jc w:val="both"/>
      </w:pPr>
      <w:r w:rsidRPr="00A50BD6">
        <w:t>Housing products simply refers to different types of housing as they are produced by developers of various kinds (including councils and housing associations). Housing products usually refers to specific tenures and types of new build housing</w:t>
      </w:r>
      <w:r>
        <w:t>.</w:t>
      </w:r>
    </w:p>
    <w:p w14:paraId="374ADBC2" w14:textId="77777777" w:rsidR="000A0EA3" w:rsidRPr="008D77D6" w:rsidRDefault="000A0EA3" w:rsidP="00C60545">
      <w:pPr>
        <w:pStyle w:val="BodyText"/>
        <w:spacing w:line="276" w:lineRule="auto"/>
        <w:jc w:val="both"/>
        <w:rPr>
          <w:b/>
        </w:rPr>
      </w:pPr>
      <w:r w:rsidRPr="008D77D6">
        <w:rPr>
          <w:b/>
        </w:rPr>
        <w:t>Housing Requirement (NPPF 2024 Definition)</w:t>
      </w:r>
    </w:p>
    <w:p w14:paraId="38AC7C9A" w14:textId="23DA8CF4" w:rsidR="00235EC7" w:rsidRPr="00434C10" w:rsidRDefault="000A0EA3" w:rsidP="008D77D6">
      <w:pPr>
        <w:shd w:val="clear" w:color="auto" w:fill="FFFFFF"/>
        <w:tabs>
          <w:tab w:val="clear" w:pos="284"/>
        </w:tabs>
        <w:spacing w:before="300" w:after="300" w:line="276" w:lineRule="auto"/>
        <w:jc w:val="both"/>
        <w:rPr>
          <w:rFonts w:eastAsia="Times New Roman" w:cstheme="minorHAnsi"/>
          <w:color w:val="0B0C0C"/>
          <w:kern w:val="0"/>
          <w:szCs w:val="24"/>
          <w:lang w:eastAsia="en-GB"/>
        </w:rPr>
      </w:pPr>
      <w:r w:rsidRPr="008D77D6">
        <w:rPr>
          <w:rFonts w:eastAsia="Times New Roman" w:cstheme="minorHAnsi"/>
          <w:color w:val="0B0C0C"/>
          <w:kern w:val="0"/>
          <w:szCs w:val="24"/>
          <w:lang w:eastAsia="en-GB"/>
        </w:rPr>
        <w:t xml:space="preserve">The housing requirement is the minimum number of homes that a plan seeks to provide during the plan period. Once local housing need has been assessed, as set out in this guidance, authorities should then make an assessment of the </w:t>
      </w:r>
      <w:proofErr w:type="gramStart"/>
      <w:r w:rsidRPr="008D77D6">
        <w:rPr>
          <w:rFonts w:eastAsia="Times New Roman" w:cstheme="minorHAnsi"/>
          <w:color w:val="0B0C0C"/>
          <w:kern w:val="0"/>
          <w:szCs w:val="24"/>
          <w:lang w:eastAsia="en-GB"/>
        </w:rPr>
        <w:t>amount</w:t>
      </w:r>
      <w:proofErr w:type="gramEnd"/>
      <w:r w:rsidRPr="008D77D6">
        <w:rPr>
          <w:rFonts w:eastAsia="Times New Roman" w:cstheme="minorHAnsi"/>
          <w:color w:val="0B0C0C"/>
          <w:kern w:val="0"/>
          <w:szCs w:val="24"/>
          <w:lang w:eastAsia="en-GB"/>
        </w:rPr>
        <w:t xml:space="preserve"> of new homes that can be provided in their area. This should be justified by evidence on land availability, constraints on development and any other relevant matters.</w:t>
      </w:r>
      <w:r w:rsidRPr="000A3B26">
        <w:rPr>
          <w:rFonts w:eastAsia="Times New Roman" w:cstheme="minorHAnsi"/>
          <w:color w:val="0B0C0C"/>
          <w:kern w:val="0"/>
          <w:szCs w:val="24"/>
          <w:lang w:eastAsia="en-GB"/>
        </w:rPr>
        <w:t> </w:t>
      </w:r>
    </w:p>
    <w:p w14:paraId="232051A0" w14:textId="77777777" w:rsidR="00201C53" w:rsidRPr="00A50BD6" w:rsidRDefault="00201C53" w:rsidP="00252C91">
      <w:pPr>
        <w:pStyle w:val="BodyText"/>
        <w:spacing w:line="276" w:lineRule="auto"/>
        <w:jc w:val="both"/>
        <w:rPr>
          <w:b/>
        </w:rPr>
      </w:pPr>
      <w:r w:rsidRPr="00A50BD6">
        <w:rPr>
          <w:b/>
        </w:rPr>
        <w:t>Housing Size (Census Definition)</w:t>
      </w:r>
    </w:p>
    <w:p w14:paraId="29E82252" w14:textId="77777777" w:rsidR="00201C53" w:rsidRPr="00A50BD6" w:rsidRDefault="00201C53" w:rsidP="00252C91">
      <w:pPr>
        <w:pStyle w:val="BodyText"/>
        <w:spacing w:line="276" w:lineRule="auto"/>
        <w:jc w:val="both"/>
      </w:pPr>
      <w:r w:rsidRPr="00A50BD6">
        <w:t xml:space="preserve">Housing size can be referred to either in terms of the number of bedrooms in a home (a bedroom is defined as any room that was intended to be used as a bedroom when the property was built, any rooms permanently converted for use as bedrooms); or in terms of the number of rooms, excluding bathrooms, toilets halls or landings, or rooms that can only be used for storage. All other rooms, for example, kitchens, living rooms, bedrooms, utility rooms, studies and conservatories are counted.  If two rooms have been converted into </w:t>
      </w:r>
      <w:proofErr w:type="gramStart"/>
      <w:r w:rsidRPr="00A50BD6">
        <w:t>one</w:t>
      </w:r>
      <w:proofErr w:type="gramEnd"/>
      <w:r w:rsidRPr="00A50BD6">
        <w:t xml:space="preserve"> they are counted as one room. Rooms shared between more than one household, for example a shared kitchen, are not counted. </w:t>
      </w:r>
    </w:p>
    <w:p w14:paraId="49796A4C" w14:textId="77777777" w:rsidR="00201C53" w:rsidRPr="00A50BD6" w:rsidRDefault="00201C53" w:rsidP="00252C91">
      <w:pPr>
        <w:pStyle w:val="BodyText"/>
        <w:spacing w:line="276" w:lineRule="auto"/>
        <w:jc w:val="both"/>
        <w:rPr>
          <w:b/>
        </w:rPr>
      </w:pPr>
      <w:r w:rsidRPr="00A50BD6">
        <w:rPr>
          <w:b/>
        </w:rPr>
        <w:t>Housing Type (Census Definition)</w:t>
      </w:r>
    </w:p>
    <w:p w14:paraId="51EFBC87" w14:textId="77777777" w:rsidR="00201C53" w:rsidRPr="00A50BD6" w:rsidRDefault="00201C53" w:rsidP="00252C91">
      <w:pPr>
        <w:pStyle w:val="BodyText"/>
        <w:spacing w:line="276" w:lineRule="auto"/>
        <w:jc w:val="both"/>
      </w:pPr>
      <w:r w:rsidRPr="00A50BD6">
        <w:t>This refers to the type of accommodation used or available for use by an individual household (i.e. detached, semi-detached, terraced including end of terraced, and flats). Flats are broken down into those in a purpose-built block of flats, in parts of a converted or shared house, or in a commercial building.</w:t>
      </w:r>
    </w:p>
    <w:p w14:paraId="7520557D" w14:textId="77777777" w:rsidR="00201C53" w:rsidRPr="00A50BD6" w:rsidRDefault="00201C53" w:rsidP="00252C91">
      <w:pPr>
        <w:pStyle w:val="BodyText"/>
        <w:spacing w:line="276" w:lineRule="auto"/>
        <w:jc w:val="both"/>
        <w:rPr>
          <w:b/>
        </w:rPr>
      </w:pPr>
      <w:r w:rsidRPr="00A50BD6">
        <w:rPr>
          <w:b/>
        </w:rPr>
        <w:t>Housing Tenure (Census Definition)</w:t>
      </w:r>
    </w:p>
    <w:p w14:paraId="747CA36E" w14:textId="77777777" w:rsidR="00201C53" w:rsidRPr="00A50BD6" w:rsidRDefault="00201C53" w:rsidP="00252C91">
      <w:pPr>
        <w:pStyle w:val="BodyText"/>
        <w:spacing w:line="276" w:lineRule="auto"/>
        <w:jc w:val="both"/>
      </w:pPr>
      <w:r w:rsidRPr="00A50BD6">
        <w:t xml:space="preserve">Tenure provides information about whether a household rents or owns the accommodation that it occupies and, if rented, combines this with information about the type of landlord who owns or manages the accommodation. </w:t>
      </w:r>
    </w:p>
    <w:p w14:paraId="6C969916" w14:textId="77777777" w:rsidR="00201C53" w:rsidRPr="00A50BD6" w:rsidRDefault="00201C53" w:rsidP="00252C91">
      <w:pPr>
        <w:pStyle w:val="BodyText"/>
        <w:spacing w:line="276" w:lineRule="auto"/>
        <w:jc w:val="both"/>
        <w:rPr>
          <w:b/>
        </w:rPr>
      </w:pPr>
      <w:r w:rsidRPr="00A50BD6">
        <w:rPr>
          <w:b/>
        </w:rPr>
        <w:lastRenderedPageBreak/>
        <w:t>Income Threshold</w:t>
      </w:r>
    </w:p>
    <w:p w14:paraId="687BD102" w14:textId="77777777" w:rsidR="00201C53" w:rsidRDefault="00201C53" w:rsidP="00252C91">
      <w:pPr>
        <w:pStyle w:val="BodyText"/>
        <w:spacing w:line="276" w:lineRule="auto"/>
        <w:jc w:val="both"/>
      </w:pPr>
      <w:r w:rsidRPr="00A50BD6">
        <w:t xml:space="preserve">Income thresholds are derived </w:t>
      </w:r>
      <w:proofErr w:type="gramStart"/>
      <w:r w:rsidRPr="00A50BD6">
        <w:t>as a result of</w:t>
      </w:r>
      <w:proofErr w:type="gramEnd"/>
      <w:r w:rsidRPr="00A50BD6">
        <w:t xml:space="preserve"> the </w:t>
      </w:r>
      <w:proofErr w:type="spellStart"/>
      <w:r w:rsidRPr="00A50BD6">
        <w:t>annualisation</w:t>
      </w:r>
      <w:proofErr w:type="spellEnd"/>
      <w:r w:rsidRPr="00A50BD6">
        <w:t xml:space="preserve"> of the monthly rental cost and then asserting this cost should not exceed </w:t>
      </w:r>
      <w:r>
        <w:t>35% of annual household income.</w:t>
      </w:r>
    </w:p>
    <w:p w14:paraId="710E28D8" w14:textId="77777777" w:rsidR="00201C53" w:rsidRPr="00A50BD6" w:rsidRDefault="00201C53" w:rsidP="00252C91">
      <w:pPr>
        <w:pStyle w:val="BodyText"/>
        <w:spacing w:line="276" w:lineRule="auto"/>
        <w:jc w:val="both"/>
        <w:rPr>
          <w:b/>
        </w:rPr>
      </w:pPr>
      <w:r w:rsidRPr="00A50BD6">
        <w:rPr>
          <w:b/>
        </w:rPr>
        <w:t>Intercensal Period</w:t>
      </w:r>
    </w:p>
    <w:p w14:paraId="23A02E9E" w14:textId="502B9CA7" w:rsidR="00C639E2" w:rsidRPr="00A50BD6" w:rsidRDefault="00201C53" w:rsidP="00252C91">
      <w:pPr>
        <w:pStyle w:val="BodyText"/>
        <w:spacing w:line="276" w:lineRule="auto"/>
        <w:jc w:val="both"/>
      </w:pPr>
      <w:r w:rsidRPr="00A50BD6">
        <w:t>This means the period between the last two Censuses, i.e. between years 2001 and 2011.</w:t>
      </w:r>
    </w:p>
    <w:p w14:paraId="42A06FD2" w14:textId="77777777" w:rsidR="00201C53" w:rsidRPr="00A50BD6" w:rsidRDefault="00201C53" w:rsidP="00252C91">
      <w:pPr>
        <w:pStyle w:val="BodyText"/>
        <w:spacing w:line="276" w:lineRule="auto"/>
        <w:jc w:val="both"/>
        <w:rPr>
          <w:b/>
        </w:rPr>
      </w:pPr>
      <w:r w:rsidRPr="00A50BD6">
        <w:rPr>
          <w:b/>
        </w:rPr>
        <w:t>Intermediate Housing</w:t>
      </w:r>
    </w:p>
    <w:p w14:paraId="1FEE9EC3" w14:textId="77777777" w:rsidR="00201C53" w:rsidRPr="00A50BD6" w:rsidRDefault="00201C53" w:rsidP="00252C91">
      <w:pPr>
        <w:pStyle w:val="ListNumber"/>
        <w:numPr>
          <w:ilvl w:val="0"/>
          <w:numId w:val="0"/>
        </w:numPr>
        <w:spacing w:line="276" w:lineRule="auto"/>
        <w:jc w:val="both"/>
      </w:pPr>
      <w:r w:rsidRPr="00A50BD6">
        <w:t>Intermediate housing is homes for sale and rent provided at a cost above social rent, but below market levels subject to the criteria in the Affordable Housing definition above. These can include shared equity (shared ownersh</w:t>
      </w:r>
      <w:r>
        <w:t>ip and equity loans), other low-</w:t>
      </w:r>
      <w:r w:rsidRPr="00A50BD6">
        <w:t>cost homes for sale and intermediate rent, but not affordable rented housing. Homes that do not meet the above definition of a</w:t>
      </w:r>
      <w:r>
        <w:t>ffordable housing, such as ‘low-</w:t>
      </w:r>
      <w:r w:rsidRPr="00A50BD6">
        <w:t>cost market’ housing, may not be considered as affordable housing for planning purposes.</w:t>
      </w:r>
    </w:p>
    <w:p w14:paraId="204D5FA8" w14:textId="77777777" w:rsidR="00201C53" w:rsidRPr="00A50BD6" w:rsidRDefault="00201C53" w:rsidP="00252C91">
      <w:pPr>
        <w:pStyle w:val="BodyText"/>
        <w:spacing w:line="276" w:lineRule="auto"/>
        <w:jc w:val="both"/>
        <w:rPr>
          <w:b/>
        </w:rPr>
      </w:pPr>
      <w:r w:rsidRPr="00A50BD6">
        <w:rPr>
          <w:b/>
        </w:rPr>
        <w:t>Life Stage modelling</w:t>
      </w:r>
    </w:p>
    <w:p w14:paraId="535B6814" w14:textId="333B5513" w:rsidR="00201C53" w:rsidRPr="00A50BD6" w:rsidRDefault="00201C53" w:rsidP="00252C91">
      <w:pPr>
        <w:pStyle w:val="BodyText"/>
        <w:spacing w:line="276" w:lineRule="auto"/>
        <w:jc w:val="both"/>
      </w:pPr>
      <w:r w:rsidRPr="00A50BD6">
        <w:t xml:space="preserve">Life Stage modelling is forecasting need for dwellings of different sizes </w:t>
      </w:r>
      <w:r>
        <w:t>by</w:t>
      </w:r>
      <w:r w:rsidRPr="00A50BD6">
        <w:t xml:space="preserve"> the end of </w:t>
      </w:r>
      <w:r w:rsidR="0096304E">
        <w:t>the Neighbourhood Plan period</w:t>
      </w:r>
      <w:r w:rsidRPr="00A50BD6">
        <w:t xml:space="preserve"> </w:t>
      </w:r>
      <w:proofErr w:type="gramStart"/>
      <w:r w:rsidRPr="00A50BD6">
        <w:t>on the basis of</w:t>
      </w:r>
      <w:proofErr w:type="gramEnd"/>
      <w:r w:rsidRPr="00A50BD6">
        <w:t xml:space="preserve"> changes in the distribution of household types and key age brackets (life stages) within the NA. Given the shared behavioural patterns associated with these metrics, they provide a helpful way of understanding and predicting future community need. This dat</w:t>
      </w:r>
      <w:r>
        <w:t>a is not available at neighbourhood</w:t>
      </w:r>
      <w:r w:rsidRPr="00A50BD6">
        <w:t xml:space="preserve"> </w:t>
      </w:r>
      <w:proofErr w:type="gramStart"/>
      <w:r w:rsidRPr="00A50BD6">
        <w:t>level</w:t>
      </w:r>
      <w:proofErr w:type="gramEnd"/>
      <w:r w:rsidRPr="00A50BD6">
        <w:t xml:space="preserve"> so </w:t>
      </w:r>
      <w:r>
        <w:t>LPA</w:t>
      </w:r>
      <w:r w:rsidRPr="00A50BD6">
        <w:t xml:space="preserve"> level data is employed on the </w:t>
      </w:r>
      <w:r>
        <w:t>basis of the NA falling within its</w:t>
      </w:r>
      <w:r w:rsidRPr="00A50BD6">
        <w:t xml:space="preserve"> defined Housing Market Area.</w:t>
      </w:r>
    </w:p>
    <w:p w14:paraId="6781F431" w14:textId="77777777" w:rsidR="0031246C" w:rsidRPr="008D77D6" w:rsidRDefault="0031246C" w:rsidP="0031246C">
      <w:pPr>
        <w:pStyle w:val="BodyText"/>
        <w:spacing w:line="276" w:lineRule="auto"/>
        <w:jc w:val="both"/>
        <w:rPr>
          <w:b/>
        </w:rPr>
      </w:pPr>
      <w:r w:rsidRPr="008D77D6">
        <w:rPr>
          <w:b/>
        </w:rPr>
        <w:t>Life-time Homes</w:t>
      </w:r>
    </w:p>
    <w:p w14:paraId="7F81F88E" w14:textId="77777777" w:rsidR="0031246C" w:rsidRPr="008D77D6" w:rsidRDefault="0031246C" w:rsidP="0031246C">
      <w:pPr>
        <w:pStyle w:val="BodyText"/>
        <w:spacing w:line="276" w:lineRule="auto"/>
        <w:jc w:val="both"/>
      </w:pPr>
      <w:r w:rsidRPr="008D77D6">
        <w:t xml:space="preserve">Dwellings constructed to make them more flexible, convenient adaptable and accessible than most ‘normal’ houses, usually according to the Lifetime Homes Standard, 16 design criteria that can be applied to new homes at minimal cost: </w:t>
      </w:r>
      <w:hyperlink r:id="rId36" w:history="1">
        <w:r w:rsidRPr="008D77D6">
          <w:rPr>
            <w:rStyle w:val="Hyperlink"/>
          </w:rPr>
          <w:t>http://www.lifetimehomes.org.uk/</w:t>
        </w:r>
      </w:hyperlink>
      <w:r w:rsidRPr="008D77D6">
        <w:t xml:space="preserve">. Lifetime Homes standards have been broadly wrapped up into the M4(2) optional building regulations standards which relate to accessibility and adaptability of dwellings. </w:t>
      </w:r>
    </w:p>
    <w:p w14:paraId="4208D9A8" w14:textId="77777777" w:rsidR="00201C53" w:rsidRPr="00A50BD6" w:rsidRDefault="00201C53" w:rsidP="00252C91">
      <w:pPr>
        <w:pStyle w:val="BodyText"/>
        <w:spacing w:line="276" w:lineRule="auto"/>
        <w:jc w:val="both"/>
        <w:rPr>
          <w:b/>
        </w:rPr>
      </w:pPr>
      <w:r w:rsidRPr="00A50BD6">
        <w:rPr>
          <w:b/>
        </w:rPr>
        <w:t xml:space="preserve">Life-time Neighbourhoods </w:t>
      </w:r>
    </w:p>
    <w:p w14:paraId="6892EB14" w14:textId="77777777" w:rsidR="00201C53" w:rsidRPr="00A50BD6" w:rsidRDefault="00201C53" w:rsidP="00252C91">
      <w:pPr>
        <w:pStyle w:val="BodyText"/>
        <w:spacing w:line="276" w:lineRule="auto"/>
        <w:jc w:val="both"/>
      </w:pPr>
      <w:r w:rsidRPr="00A50BD6">
        <w:t xml:space="preserve">Lifetime neighbourhoods extend the principles of Lifetime Homes into the wider neighbourhood to ensure the public realm is designed in such a way to be as inclusive as possible and designed to address the needs of older people, for example providing more greenery and more walkable, </w:t>
      </w:r>
      <w:proofErr w:type="gramStart"/>
      <w:r w:rsidRPr="00A50BD6">
        <w:t>better connected</w:t>
      </w:r>
      <w:proofErr w:type="gramEnd"/>
      <w:r w:rsidRPr="00A50BD6">
        <w:t xml:space="preserve"> places.</w:t>
      </w:r>
    </w:p>
    <w:p w14:paraId="6751516E" w14:textId="77777777" w:rsidR="00201C53" w:rsidRPr="00A50BD6" w:rsidRDefault="00201C53" w:rsidP="00252C91">
      <w:pPr>
        <w:pStyle w:val="BodyText"/>
        <w:spacing w:line="276" w:lineRule="auto"/>
        <w:jc w:val="both"/>
        <w:rPr>
          <w:b/>
        </w:rPr>
      </w:pPr>
      <w:r w:rsidRPr="00A50BD6">
        <w:rPr>
          <w:b/>
        </w:rPr>
        <w:t>Local Development Order</w:t>
      </w:r>
    </w:p>
    <w:p w14:paraId="35ADC9C5" w14:textId="77777777" w:rsidR="00201C53" w:rsidRPr="00A50BD6" w:rsidRDefault="00201C53" w:rsidP="00252C91">
      <w:pPr>
        <w:pStyle w:val="BodyText"/>
        <w:spacing w:line="276" w:lineRule="auto"/>
        <w:jc w:val="both"/>
      </w:pPr>
      <w:r w:rsidRPr="00A50BD6">
        <w:t>An Order made by a local planning authority (under the Town and Country Planning Act 1990) that grants planning permission for a specific development proposal or classes of development.</w:t>
      </w:r>
    </w:p>
    <w:p w14:paraId="6722581D" w14:textId="77777777" w:rsidR="00201C53" w:rsidRPr="00A50BD6" w:rsidRDefault="00201C53" w:rsidP="00252C91">
      <w:pPr>
        <w:pStyle w:val="BodyText"/>
        <w:spacing w:line="276" w:lineRule="auto"/>
        <w:jc w:val="both"/>
        <w:rPr>
          <w:b/>
          <w:bCs/>
        </w:rPr>
      </w:pPr>
      <w:r w:rsidRPr="00A50BD6">
        <w:rPr>
          <w:b/>
          <w:bCs/>
        </w:rPr>
        <w:t>Local Enterprise Partnership</w:t>
      </w:r>
    </w:p>
    <w:p w14:paraId="2B9B50AA" w14:textId="77777777" w:rsidR="00201C53" w:rsidRPr="00A50BD6" w:rsidRDefault="00201C53" w:rsidP="00252C91">
      <w:pPr>
        <w:pStyle w:val="BodyText"/>
        <w:spacing w:line="276" w:lineRule="auto"/>
        <w:jc w:val="both"/>
      </w:pPr>
      <w:r w:rsidRPr="00A50BD6">
        <w:t>A body, designated by the Secretary of State for Communities and Local Government, established for the purpose of creating or improving the conditions for economic growth in an area.</w:t>
      </w:r>
    </w:p>
    <w:p w14:paraId="00725477" w14:textId="77777777" w:rsidR="00201C53" w:rsidRPr="00A50BD6" w:rsidRDefault="00201C53" w:rsidP="00252C91">
      <w:pPr>
        <w:pStyle w:val="BodyText"/>
        <w:spacing w:line="276" w:lineRule="auto"/>
        <w:jc w:val="both"/>
        <w:rPr>
          <w:b/>
        </w:rPr>
      </w:pPr>
      <w:r w:rsidRPr="00A50BD6">
        <w:rPr>
          <w:b/>
        </w:rPr>
        <w:lastRenderedPageBreak/>
        <w:t>Local housing need (NPPF definition)</w:t>
      </w:r>
    </w:p>
    <w:p w14:paraId="6BC42716" w14:textId="7D73F4E4" w:rsidR="00201C53" w:rsidRPr="00A50BD6" w:rsidRDefault="00201C53" w:rsidP="00252C91">
      <w:pPr>
        <w:pStyle w:val="BodyText"/>
        <w:spacing w:line="276" w:lineRule="auto"/>
        <w:jc w:val="both"/>
      </w:pPr>
      <w:r w:rsidRPr="00A50BD6">
        <w:t>The number of homes identified as being needed through the application of the standard method set out in national planning guidance (or, in the context of preparing strategic policies only, this may be calculated using a justified alternative approach as provided for in paragraph 60 of this Framework).</w:t>
      </w:r>
    </w:p>
    <w:p w14:paraId="5F1C7818" w14:textId="77777777" w:rsidR="00201C53" w:rsidRPr="00A50BD6" w:rsidRDefault="00201C53" w:rsidP="00252C91">
      <w:pPr>
        <w:pStyle w:val="BodyText"/>
        <w:spacing w:line="276" w:lineRule="auto"/>
        <w:jc w:val="both"/>
        <w:rPr>
          <w:b/>
        </w:rPr>
      </w:pPr>
      <w:r w:rsidRPr="00A50BD6">
        <w:rPr>
          <w:b/>
        </w:rPr>
        <w:t>Local Planning Authority</w:t>
      </w:r>
    </w:p>
    <w:p w14:paraId="6238095B" w14:textId="77777777" w:rsidR="00201C53" w:rsidRPr="00A50BD6" w:rsidRDefault="00201C53" w:rsidP="00252C91">
      <w:pPr>
        <w:pStyle w:val="BodyText"/>
        <w:spacing w:line="276" w:lineRule="auto"/>
        <w:jc w:val="both"/>
      </w:pPr>
      <w:r w:rsidRPr="00A50BD6">
        <w:t>The public authority whose duty it is to carry out specific planning functions for a particular area. All references to local planning a</w:t>
      </w:r>
      <w:r>
        <w:t>uthority apply to the District Council, London Borough Council, County C</w:t>
      </w:r>
      <w:r w:rsidRPr="00A50BD6">
        <w:t xml:space="preserve">ouncil, Broads Authority, National Park Authority </w:t>
      </w:r>
      <w:r>
        <w:t>or</w:t>
      </w:r>
      <w:r w:rsidRPr="00A50BD6">
        <w:t xml:space="preserve"> the Greater London Authority, to the extent appropriate to their responsibilities.</w:t>
      </w:r>
    </w:p>
    <w:p w14:paraId="1ACBE3B1" w14:textId="77777777" w:rsidR="00201C53" w:rsidRPr="00A50BD6" w:rsidRDefault="00201C53" w:rsidP="00252C91">
      <w:pPr>
        <w:pStyle w:val="BodyText"/>
        <w:spacing w:line="276" w:lineRule="auto"/>
        <w:jc w:val="both"/>
        <w:rPr>
          <w:b/>
          <w:bCs/>
        </w:rPr>
      </w:pPr>
      <w:r w:rsidRPr="00A50BD6">
        <w:rPr>
          <w:b/>
          <w:bCs/>
        </w:rPr>
        <w:t>Local Plan</w:t>
      </w:r>
    </w:p>
    <w:p w14:paraId="1AEACBE7" w14:textId="77777777" w:rsidR="00201C53" w:rsidRDefault="00201C53" w:rsidP="00252C91">
      <w:pPr>
        <w:pStyle w:val="BodyText"/>
        <w:spacing w:line="276" w:lineRule="auto"/>
        <w:jc w:val="both"/>
      </w:pPr>
      <w:r w:rsidRPr="00A50BD6">
        <w:t xml:space="preserve">This is the </w:t>
      </w:r>
      <w:proofErr w:type="gramStart"/>
      <w:r w:rsidRPr="00A50BD6">
        <w:t>plan for the future</w:t>
      </w:r>
      <w:proofErr w:type="gramEnd"/>
      <w:r w:rsidRPr="00A50BD6">
        <w:t xml:space="preserve"> development of the local area, drawn up by the local planning authority in consultation with the community. In law this is described as the development plan documents adopted under the Planning and Compulsory Purchase Act 2004. Current core strategies or other planning policies form part of the Local Plan and are known as ‘</w:t>
      </w:r>
      <w:r>
        <w:t>Development Plan D</w:t>
      </w:r>
      <w:r w:rsidRPr="00A50BD6">
        <w:t>ocuments’</w:t>
      </w:r>
      <w:r>
        <w:t xml:space="preserve"> (DPDs)</w:t>
      </w:r>
      <w:r w:rsidRPr="00A50BD6">
        <w:t>.</w:t>
      </w:r>
    </w:p>
    <w:p w14:paraId="3C9D2526" w14:textId="77777777" w:rsidR="00201C53" w:rsidRPr="00A50BD6" w:rsidRDefault="00201C53" w:rsidP="00252C91">
      <w:pPr>
        <w:pStyle w:val="BodyText"/>
        <w:spacing w:line="276" w:lineRule="auto"/>
        <w:jc w:val="both"/>
        <w:rPr>
          <w:b/>
        </w:rPr>
      </w:pPr>
      <w:r w:rsidRPr="00A50BD6">
        <w:rPr>
          <w:b/>
        </w:rPr>
        <w:t>Lower Quartile</w:t>
      </w:r>
    </w:p>
    <w:p w14:paraId="73A7008A" w14:textId="77777777" w:rsidR="00201C53" w:rsidRPr="00A50BD6" w:rsidRDefault="00201C53" w:rsidP="00252C91">
      <w:pPr>
        <w:pStyle w:val="BodyText"/>
        <w:spacing w:line="276" w:lineRule="auto"/>
        <w:jc w:val="both"/>
      </w:pPr>
      <w:r w:rsidRPr="00A50BD6">
        <w:t xml:space="preserve">The bottom 25% value, i.e. of all the properties sold, 25% were cheaper than this value and 75% were more expensive. The lower quartile price is used as an entry level price and is the recommended level used to evaluate affordability; for </w:t>
      </w:r>
      <w:proofErr w:type="gramStart"/>
      <w:r w:rsidRPr="00A50BD6">
        <w:t>example</w:t>
      </w:r>
      <w:proofErr w:type="gramEnd"/>
      <w:r w:rsidRPr="00A50BD6">
        <w:t xml:space="preserve"> for first time buyers. </w:t>
      </w:r>
    </w:p>
    <w:p w14:paraId="68CC90E3" w14:textId="77777777" w:rsidR="00201C53" w:rsidRPr="00A50BD6" w:rsidRDefault="00201C53" w:rsidP="00252C91">
      <w:pPr>
        <w:pStyle w:val="BodyText"/>
        <w:spacing w:line="276" w:lineRule="auto"/>
        <w:jc w:val="both"/>
        <w:rPr>
          <w:b/>
        </w:rPr>
      </w:pPr>
      <w:r w:rsidRPr="00A50BD6">
        <w:rPr>
          <w:b/>
        </w:rPr>
        <w:t>Lower Quartile Affordability Ratio</w:t>
      </w:r>
    </w:p>
    <w:p w14:paraId="0ADF3DE4" w14:textId="77777777" w:rsidR="00201C53" w:rsidRPr="00A50BD6" w:rsidRDefault="00201C53" w:rsidP="00252C91">
      <w:pPr>
        <w:pStyle w:val="BodyText"/>
        <w:spacing w:line="276" w:lineRule="auto"/>
        <w:jc w:val="both"/>
      </w:pPr>
      <w:r w:rsidRPr="00A50BD6">
        <w:t xml:space="preserve">The Lower Quartile Affordability Ratio reflects the relationship between Lower Quartile Household Incomes and Lower Quartile </w:t>
      </w:r>
      <w:proofErr w:type="gramStart"/>
      <w:r w:rsidRPr="00A50BD6">
        <w:t>House Prices, and</w:t>
      </w:r>
      <w:proofErr w:type="gramEnd"/>
      <w:r w:rsidRPr="00A50BD6">
        <w:t xml:space="preserve"> is a key indicator of affordability of market housing for people on relatively low incomes.</w:t>
      </w:r>
    </w:p>
    <w:p w14:paraId="31561D1C" w14:textId="77777777" w:rsidR="00201C53" w:rsidRPr="00A50BD6" w:rsidRDefault="00201C53" w:rsidP="00252C91">
      <w:pPr>
        <w:pStyle w:val="BodyText"/>
        <w:spacing w:line="276" w:lineRule="auto"/>
        <w:jc w:val="both"/>
        <w:rPr>
          <w:b/>
        </w:rPr>
      </w:pPr>
      <w:r w:rsidRPr="00A50BD6">
        <w:rPr>
          <w:b/>
        </w:rPr>
        <w:t xml:space="preserve">Market Housing </w:t>
      </w:r>
    </w:p>
    <w:p w14:paraId="4FA78760" w14:textId="77777777" w:rsidR="00201C53" w:rsidRPr="00A50BD6" w:rsidRDefault="00201C53" w:rsidP="00252C91">
      <w:pPr>
        <w:pStyle w:val="BodyText"/>
        <w:spacing w:line="276" w:lineRule="auto"/>
        <w:jc w:val="both"/>
      </w:pPr>
      <w:r w:rsidRPr="00A50BD6">
        <w:t>Market housing is housing which is built by developers (which may be private companies or housing associations, or Private Registered Providers), for the purposes of sale (or rent) on the open market.</w:t>
      </w:r>
    </w:p>
    <w:p w14:paraId="69013D4C" w14:textId="77777777" w:rsidR="00201C53" w:rsidRPr="00A50BD6" w:rsidRDefault="00201C53" w:rsidP="00252C91">
      <w:pPr>
        <w:pStyle w:val="BodyText"/>
        <w:spacing w:line="276" w:lineRule="auto"/>
        <w:jc w:val="both"/>
        <w:rPr>
          <w:b/>
        </w:rPr>
      </w:pPr>
      <w:r w:rsidRPr="00A50BD6">
        <w:rPr>
          <w:b/>
        </w:rPr>
        <w:t>Mean (Average)</w:t>
      </w:r>
    </w:p>
    <w:p w14:paraId="5218D381" w14:textId="0581F400" w:rsidR="0031246C" w:rsidRDefault="00201C53" w:rsidP="00252C91">
      <w:pPr>
        <w:pStyle w:val="BodyText"/>
        <w:spacing w:line="276" w:lineRule="auto"/>
        <w:jc w:val="both"/>
      </w:pPr>
      <w:r w:rsidRPr="00A50BD6">
        <w:t>The mean or the average is, mathematically, the sum of all values divided by the total number of values. This is the more commonly used “average” measure as it includes all values, unlike the median.</w:t>
      </w:r>
    </w:p>
    <w:p w14:paraId="6790E0FA" w14:textId="77777777" w:rsidR="0031246C" w:rsidRDefault="0031246C" w:rsidP="00252C91">
      <w:pPr>
        <w:pStyle w:val="BodyText"/>
        <w:spacing w:line="276" w:lineRule="auto"/>
        <w:jc w:val="both"/>
      </w:pPr>
    </w:p>
    <w:p w14:paraId="77F914DB" w14:textId="77777777" w:rsidR="0031246C" w:rsidRPr="00892A49" w:rsidRDefault="0031246C" w:rsidP="00252C91">
      <w:pPr>
        <w:pStyle w:val="BodyText"/>
        <w:spacing w:line="276" w:lineRule="auto"/>
        <w:jc w:val="both"/>
      </w:pPr>
    </w:p>
    <w:p w14:paraId="6E1577C1" w14:textId="77777777" w:rsidR="00201C53" w:rsidRPr="00A50BD6" w:rsidRDefault="00201C53" w:rsidP="00252C91">
      <w:pPr>
        <w:pStyle w:val="BodyText"/>
        <w:spacing w:line="276" w:lineRule="auto"/>
        <w:jc w:val="both"/>
        <w:rPr>
          <w:b/>
        </w:rPr>
      </w:pPr>
      <w:r w:rsidRPr="00A50BD6">
        <w:rPr>
          <w:b/>
        </w:rPr>
        <w:t>Median</w:t>
      </w:r>
    </w:p>
    <w:p w14:paraId="48A00E24" w14:textId="77777777" w:rsidR="00201C53" w:rsidRPr="00A50BD6" w:rsidRDefault="00201C53" w:rsidP="00252C91">
      <w:pPr>
        <w:pStyle w:val="BodyText"/>
        <w:spacing w:line="276" w:lineRule="auto"/>
        <w:jc w:val="both"/>
      </w:pPr>
      <w:r w:rsidRPr="00A50BD6">
        <w:lastRenderedPageBreak/>
        <w:t xml:space="preserve">The middle value, i.e. of all the properties sold, half were </w:t>
      </w:r>
      <w:proofErr w:type="gramStart"/>
      <w:r w:rsidRPr="00A50BD6">
        <w:t>cheaper</w:t>
      </w:r>
      <w:proofErr w:type="gramEnd"/>
      <w:r w:rsidRPr="00A50BD6">
        <w:t xml:space="preserve"> and half were more expensive. This is sometimes used instead of the mean average as it is not subject to skew by very large or very small statistical outliers.</w:t>
      </w:r>
    </w:p>
    <w:p w14:paraId="3F4B4BA0" w14:textId="77777777" w:rsidR="00201C53" w:rsidRPr="00A50BD6" w:rsidRDefault="00201C53" w:rsidP="00252C91">
      <w:pPr>
        <w:pStyle w:val="BodyText"/>
        <w:spacing w:line="276" w:lineRule="auto"/>
        <w:jc w:val="both"/>
        <w:rPr>
          <w:b/>
        </w:rPr>
      </w:pPr>
      <w:r w:rsidRPr="00A50BD6">
        <w:rPr>
          <w:b/>
        </w:rPr>
        <w:t>Median Affordability Ratio</w:t>
      </w:r>
    </w:p>
    <w:p w14:paraId="2DE56DF2" w14:textId="3AC95CF7" w:rsidR="00201C53" w:rsidRDefault="00201C53" w:rsidP="00252C91">
      <w:pPr>
        <w:pStyle w:val="BodyText"/>
        <w:spacing w:line="276" w:lineRule="auto"/>
        <w:jc w:val="both"/>
      </w:pPr>
      <w:r w:rsidRPr="00A50BD6">
        <w:t>The Lower Quartile Affordability Ratio reflects the relationship between Median Household Incomes and Median House Prices</w:t>
      </w:r>
      <w:r>
        <w:t xml:space="preserve"> </w:t>
      </w:r>
      <w:r w:rsidRPr="00A50BD6">
        <w:t>and is a key indicator of affordability of market housing for people on middle-range incomes.</w:t>
      </w:r>
    </w:p>
    <w:p w14:paraId="55B7A30C" w14:textId="77777777" w:rsidR="00201C53" w:rsidRPr="00A50BD6" w:rsidRDefault="00201C53" w:rsidP="00252C91">
      <w:pPr>
        <w:pStyle w:val="BodyText"/>
        <w:spacing w:line="276" w:lineRule="auto"/>
        <w:jc w:val="both"/>
        <w:rPr>
          <w:b/>
        </w:rPr>
      </w:pPr>
      <w:r w:rsidRPr="00A50BD6">
        <w:rPr>
          <w:b/>
        </w:rPr>
        <w:t>Mortgage Ratio</w:t>
      </w:r>
    </w:p>
    <w:p w14:paraId="00F6DDCD" w14:textId="77777777" w:rsidR="00201C53" w:rsidRDefault="00201C53" w:rsidP="00252C91">
      <w:pPr>
        <w:pStyle w:val="BodyText"/>
        <w:spacing w:line="276" w:lineRule="auto"/>
        <w:jc w:val="both"/>
      </w:pPr>
      <w:r w:rsidRPr="00A50BD6">
        <w:t>The mortgage ratio is the ratio of mortgage value to income which is typically deemed acceptable by banks. Approximately 75% of all mortgage lending ratios fell below 4 in recent years</w:t>
      </w:r>
      <w:r w:rsidRPr="00A50BD6">
        <w:rPr>
          <w:rStyle w:val="FootnoteReference"/>
        </w:rPr>
        <w:footnoteReference w:id="23"/>
      </w:r>
      <w:r w:rsidRPr="00A50BD6">
        <w:t>, i.e. the total value of the mortgage was less than 4 times the annual income of the person who was granted the mortgage.</w:t>
      </w:r>
    </w:p>
    <w:p w14:paraId="19A7BE2B" w14:textId="77777777" w:rsidR="00201C53" w:rsidRPr="008D49A0" w:rsidRDefault="00201C53" w:rsidP="00252C91">
      <w:pPr>
        <w:pStyle w:val="BodyText"/>
        <w:spacing w:line="276" w:lineRule="auto"/>
        <w:jc w:val="both"/>
        <w:rPr>
          <w:b/>
        </w:rPr>
      </w:pPr>
      <w:r w:rsidRPr="008D49A0">
        <w:rPr>
          <w:b/>
        </w:rPr>
        <w:t>Neighbourhood Development Order (NDO)</w:t>
      </w:r>
    </w:p>
    <w:p w14:paraId="5337300B" w14:textId="77777777" w:rsidR="00201C53" w:rsidRPr="00A50BD6" w:rsidRDefault="00201C53" w:rsidP="00252C91">
      <w:pPr>
        <w:pStyle w:val="BodyText"/>
        <w:spacing w:line="276" w:lineRule="auto"/>
        <w:jc w:val="both"/>
      </w:pPr>
      <w:r w:rsidRPr="008D49A0">
        <w:t>An NDO will grant planning permission for a particular type of development in a particul</w:t>
      </w:r>
      <w:r>
        <w:t xml:space="preserve">ar area. This could be either a </w:t>
      </w:r>
      <w:r w:rsidRPr="008D49A0">
        <w:t>particular development, or a particular class of development (for example retail or</w:t>
      </w:r>
      <w:r>
        <w:t xml:space="preserve"> housing). </w:t>
      </w:r>
      <w:proofErr w:type="gramStart"/>
      <w:r>
        <w:t>A number of</w:t>
      </w:r>
      <w:proofErr w:type="gramEnd"/>
      <w:r>
        <w:t xml:space="preserve"> types of </w:t>
      </w:r>
      <w:r w:rsidRPr="008D49A0">
        <w:t>development will be excluded from NDOs, however. These are minerals and waste de</w:t>
      </w:r>
      <w:r>
        <w:t xml:space="preserve">velopment, types of development </w:t>
      </w:r>
      <w:r w:rsidRPr="008D49A0">
        <w:t>that, regardless of scale, always need Environmental Impact Assessment, and Nationally Significant Infrastructure Projects.</w:t>
      </w:r>
    </w:p>
    <w:p w14:paraId="073AF2B9" w14:textId="77777777" w:rsidR="00201C53" w:rsidRPr="00A50BD6" w:rsidRDefault="00201C53" w:rsidP="00252C91">
      <w:pPr>
        <w:pStyle w:val="BodyText"/>
        <w:spacing w:line="276" w:lineRule="auto"/>
        <w:jc w:val="both"/>
        <w:rPr>
          <w:b/>
          <w:bCs/>
        </w:rPr>
      </w:pPr>
      <w:r w:rsidRPr="00A50BD6">
        <w:rPr>
          <w:b/>
          <w:bCs/>
        </w:rPr>
        <w:t>Neighbourhood plan</w:t>
      </w:r>
    </w:p>
    <w:p w14:paraId="7B7E6165" w14:textId="77777777" w:rsidR="00201C53" w:rsidRPr="00A50BD6" w:rsidRDefault="00201C53" w:rsidP="00252C91">
      <w:pPr>
        <w:pStyle w:val="BodyText"/>
        <w:spacing w:line="276" w:lineRule="auto"/>
        <w:jc w:val="both"/>
      </w:pPr>
      <w:r w:rsidRPr="00A50BD6">
        <w:t>A plan prepared by a Parish or Town Council or Neighbourhood Forum for a particular neighbourhood area (made under the Planning and Compulsory Purchase Act 2004).</w:t>
      </w:r>
    </w:p>
    <w:p w14:paraId="3A6B56C1" w14:textId="77777777" w:rsidR="00201C53" w:rsidRPr="00A50BD6" w:rsidRDefault="00201C53" w:rsidP="00252C91">
      <w:pPr>
        <w:pStyle w:val="BodyText"/>
        <w:spacing w:line="276" w:lineRule="auto"/>
        <w:jc w:val="both"/>
        <w:rPr>
          <w:b/>
        </w:rPr>
      </w:pPr>
      <w:r w:rsidRPr="00A50BD6">
        <w:rPr>
          <w:b/>
        </w:rPr>
        <w:t>Older People</w:t>
      </w:r>
    </w:p>
    <w:p w14:paraId="42EBF5B7" w14:textId="77777777" w:rsidR="00201C53" w:rsidRPr="00A50BD6" w:rsidRDefault="00201C53" w:rsidP="00252C91">
      <w:pPr>
        <w:pStyle w:val="BodyText"/>
        <w:spacing w:line="276" w:lineRule="auto"/>
        <w:jc w:val="both"/>
      </w:pPr>
      <w:r w:rsidRPr="00A50BD6">
        <w:t xml:space="preserve">People over retirement age, including the active, </w:t>
      </w:r>
      <w:proofErr w:type="gramStart"/>
      <w:r w:rsidRPr="00A50BD6">
        <w:t>newly-retired</w:t>
      </w:r>
      <w:proofErr w:type="gramEnd"/>
      <w:r w:rsidRPr="00A50BD6">
        <w:t xml:space="preserve"> through to very frail </w:t>
      </w:r>
      <w:r>
        <w:t>older people</w:t>
      </w:r>
      <w:r w:rsidRPr="00A50BD6">
        <w:t>, whose housing needs can encompass accessible, adaptable general needs housing for those looking to downsize from family housing and the full range of retirement and specialised housing for those with support or care needs.</w:t>
      </w:r>
    </w:p>
    <w:p w14:paraId="713E51E2" w14:textId="77777777" w:rsidR="00201C53" w:rsidRPr="00A50BD6" w:rsidRDefault="00201C53" w:rsidP="00252C91">
      <w:pPr>
        <w:pStyle w:val="BodyText"/>
        <w:spacing w:line="276" w:lineRule="auto"/>
        <w:jc w:val="both"/>
        <w:rPr>
          <w:b/>
        </w:rPr>
      </w:pPr>
      <w:r w:rsidRPr="00A50BD6">
        <w:rPr>
          <w:b/>
        </w:rPr>
        <w:t>Output Area/Lower Super Output Area/Middle Super Output Area</w:t>
      </w:r>
    </w:p>
    <w:p w14:paraId="7ED83439" w14:textId="77777777" w:rsidR="00201C53" w:rsidRDefault="00201C53" w:rsidP="00252C91">
      <w:pPr>
        <w:pStyle w:val="BodyText"/>
        <w:spacing w:line="276" w:lineRule="auto"/>
        <w:jc w:val="both"/>
      </w:pPr>
      <w:r w:rsidRPr="00A50BD6">
        <w:t xml:space="preserve">An output area is the lowest level of geography for publishing </w:t>
      </w:r>
      <w:proofErr w:type="gramStart"/>
      <w:r w:rsidRPr="00A50BD6">
        <w:t>statistics, and</w:t>
      </w:r>
      <w:proofErr w:type="gramEnd"/>
      <w:r w:rsidRPr="00A50BD6">
        <w:t xml:space="preserve"> is the core geography from which statistics for other geographies are built. Output areas were created for England and Wales from the 2001 Census data, by grouping </w:t>
      </w:r>
      <w:proofErr w:type="gramStart"/>
      <w:r w:rsidRPr="00A50BD6">
        <w:t>a number of</w:t>
      </w:r>
      <w:proofErr w:type="gramEnd"/>
      <w:r w:rsidRPr="00A50BD6">
        <w:t xml:space="preserve"> households and populations together so that each output area's population is roughly the same. 175,434 output areas were created from the 2001 Census data, each containing a minimum of 100 persons with an average of 300 persons.  Lower Super Output Areas consist of higher geographies of between 1,000-1,500 persons (made up of </w:t>
      </w:r>
      <w:proofErr w:type="gramStart"/>
      <w:r w:rsidRPr="00A50BD6">
        <w:t>a number of</w:t>
      </w:r>
      <w:proofErr w:type="gramEnd"/>
      <w:r w:rsidRPr="00A50BD6">
        <w:t xml:space="preserve"> individual Output Areas) and Middle Super Output Areas are higher than this, containing between 5,000 and 7,200 people, and made up of individual Lower Layer Super Output Areas. Some statistics </w:t>
      </w:r>
      <w:r w:rsidRPr="00A50BD6">
        <w:lastRenderedPageBreak/>
        <w:t>are only available down to Middle Layer Super Output Area level, meaning that they are not available for individual Output Areas or parishes.</w:t>
      </w:r>
    </w:p>
    <w:p w14:paraId="390E7E88" w14:textId="77777777" w:rsidR="00413207" w:rsidRPr="00434C10" w:rsidRDefault="00413207" w:rsidP="00413207">
      <w:pPr>
        <w:pStyle w:val="BodyText"/>
        <w:spacing w:line="276" w:lineRule="auto"/>
        <w:jc w:val="both"/>
        <w:rPr>
          <w:b/>
        </w:rPr>
      </w:pPr>
      <w:r w:rsidRPr="00434C10">
        <w:rPr>
          <w:b/>
        </w:rPr>
        <w:t>Overcrowding</w:t>
      </w:r>
    </w:p>
    <w:p w14:paraId="7C190AFC" w14:textId="77777777" w:rsidR="00413207" w:rsidRPr="00A50BD6" w:rsidRDefault="00413207" w:rsidP="00413207">
      <w:pPr>
        <w:pStyle w:val="BodyText"/>
        <w:spacing w:line="276" w:lineRule="auto"/>
        <w:jc w:val="both"/>
      </w:pPr>
      <w:r w:rsidRPr="00434C10">
        <w:t>There is no single agreed definition of overcrowding, however, utilising the Government’s bedroom standard, overcrowding is deemed to be in households where there is more than one person in the household per room (excluding kitchens, bathrooms, halls and storage areas). As such, a home with one bedroom and one living room and one kitchen would be deemed overcrowded if three adults were living there.</w:t>
      </w:r>
    </w:p>
    <w:p w14:paraId="7AFE6F6E" w14:textId="77777777" w:rsidR="00201C53" w:rsidRPr="00A50BD6" w:rsidRDefault="00201C53" w:rsidP="00252C91">
      <w:pPr>
        <w:pStyle w:val="BodyText"/>
        <w:spacing w:line="276" w:lineRule="auto"/>
        <w:jc w:val="both"/>
        <w:rPr>
          <w:b/>
        </w:rPr>
      </w:pPr>
      <w:r w:rsidRPr="00A50BD6">
        <w:rPr>
          <w:b/>
        </w:rPr>
        <w:t>Planning Condition</w:t>
      </w:r>
    </w:p>
    <w:p w14:paraId="0E05C7D3" w14:textId="77777777" w:rsidR="00201C53" w:rsidRPr="00A50BD6" w:rsidRDefault="00201C53" w:rsidP="00252C91">
      <w:pPr>
        <w:pStyle w:val="BodyText"/>
        <w:spacing w:line="276" w:lineRule="auto"/>
        <w:jc w:val="both"/>
      </w:pPr>
      <w:r w:rsidRPr="00A50BD6">
        <w:t>A condition imposed on a grant of planning permission (in accordance with the Town and Country Planning Act 1990) or a condition included in a Local Development Order or Neighbourhood Development Order.</w:t>
      </w:r>
    </w:p>
    <w:p w14:paraId="0ECF9CAF" w14:textId="77777777" w:rsidR="00201C53" w:rsidRPr="00A50BD6" w:rsidRDefault="00201C53" w:rsidP="00252C91">
      <w:pPr>
        <w:pStyle w:val="BodyText"/>
        <w:spacing w:line="276" w:lineRule="auto"/>
        <w:jc w:val="both"/>
        <w:rPr>
          <w:b/>
        </w:rPr>
      </w:pPr>
      <w:r w:rsidRPr="00A50BD6">
        <w:rPr>
          <w:b/>
        </w:rPr>
        <w:t>Planning Obligation</w:t>
      </w:r>
    </w:p>
    <w:p w14:paraId="4DBA8D70" w14:textId="77777777" w:rsidR="00201C53" w:rsidRPr="00A50BD6" w:rsidRDefault="00201C53" w:rsidP="00252C91">
      <w:pPr>
        <w:pStyle w:val="BodyText"/>
        <w:spacing w:line="276" w:lineRule="auto"/>
        <w:jc w:val="both"/>
      </w:pPr>
      <w:r w:rsidRPr="00A50BD6">
        <w:t xml:space="preserve">A legally enforceable obligation </w:t>
      </w:r>
      <w:proofErr w:type="gramStart"/>
      <w:r w:rsidRPr="00A50BD6">
        <w:t>entered into</w:t>
      </w:r>
      <w:proofErr w:type="gramEnd"/>
      <w:r w:rsidRPr="00A50BD6">
        <w:t xml:space="preserve"> under section 106 of the Town and Country Planning Act 1990 to mitigate the impacts of a development proposal.</w:t>
      </w:r>
    </w:p>
    <w:p w14:paraId="08D0CD72" w14:textId="77777777" w:rsidR="00201C53" w:rsidRPr="00A50BD6" w:rsidRDefault="00201C53" w:rsidP="00252C91">
      <w:pPr>
        <w:pStyle w:val="BodyText"/>
        <w:spacing w:line="276" w:lineRule="auto"/>
        <w:jc w:val="both"/>
        <w:rPr>
          <w:b/>
        </w:rPr>
      </w:pPr>
      <w:r w:rsidRPr="00A50BD6">
        <w:rPr>
          <w:b/>
        </w:rPr>
        <w:t>Purchase Threshold</w:t>
      </w:r>
    </w:p>
    <w:p w14:paraId="4D663407" w14:textId="77777777" w:rsidR="00201C53" w:rsidRDefault="00201C53" w:rsidP="00252C91">
      <w:pPr>
        <w:pStyle w:val="BodyText"/>
        <w:spacing w:line="276" w:lineRule="auto"/>
        <w:jc w:val="both"/>
      </w:pPr>
      <w:r w:rsidRPr="00A50BD6">
        <w:t xml:space="preserve">Purchase thresholds are calculated by netting 10% off the entry house price to reflect purchase deposit. The resulting cost is divided by 4 to reflect the standard household income requirement to access mortgage products. </w:t>
      </w:r>
    </w:p>
    <w:p w14:paraId="64E6D16C" w14:textId="77777777" w:rsidR="00201C53" w:rsidRPr="00A50BD6" w:rsidRDefault="00201C53" w:rsidP="00252C91">
      <w:pPr>
        <w:pStyle w:val="BodyText"/>
        <w:spacing w:line="276" w:lineRule="auto"/>
        <w:jc w:val="both"/>
        <w:rPr>
          <w:b/>
        </w:rPr>
      </w:pPr>
      <w:r w:rsidRPr="00A50BD6">
        <w:rPr>
          <w:b/>
        </w:rPr>
        <w:t xml:space="preserve">Proportionate and Robust Evidence </w:t>
      </w:r>
    </w:p>
    <w:p w14:paraId="05FD171F" w14:textId="77777777" w:rsidR="00201C53" w:rsidRPr="00A50BD6" w:rsidRDefault="00201C53" w:rsidP="00252C91">
      <w:pPr>
        <w:pStyle w:val="BodyText"/>
        <w:spacing w:line="276" w:lineRule="auto"/>
        <w:jc w:val="both"/>
      </w:pPr>
      <w:r w:rsidRPr="00A50BD6">
        <w:t xml:space="preserve">Proportionate and robust evidence is evidence which is deemed appropriate in scale, scope and depth for the purposes of neighbourhood planning, sufficient </w:t>
      </w:r>
      <w:proofErr w:type="gramStart"/>
      <w:r w:rsidRPr="00A50BD6">
        <w:t>so as to</w:t>
      </w:r>
      <w:proofErr w:type="gramEnd"/>
      <w:r w:rsidRPr="00A50BD6">
        <w:t xml:space="preserve"> meet the Basic Conditions, as well as robust enough to withstand legal challenge. It is referred to </w:t>
      </w:r>
      <w:proofErr w:type="gramStart"/>
      <w:r w:rsidRPr="00A50BD6">
        <w:t>a number of</w:t>
      </w:r>
      <w:proofErr w:type="gramEnd"/>
      <w:r w:rsidRPr="00A50BD6">
        <w:t xml:space="preserve"> times in the PPG and its definition and interpretation relies on the judgement of professionals such as Neighbourhood Plan Examiners. </w:t>
      </w:r>
    </w:p>
    <w:p w14:paraId="596CAF8A" w14:textId="77777777" w:rsidR="00201C53" w:rsidRPr="00A50BD6" w:rsidRDefault="00201C53" w:rsidP="00252C91">
      <w:pPr>
        <w:pStyle w:val="BodyText"/>
        <w:spacing w:line="276" w:lineRule="auto"/>
        <w:jc w:val="both"/>
        <w:rPr>
          <w:b/>
        </w:rPr>
      </w:pPr>
      <w:r w:rsidRPr="00A50BD6">
        <w:rPr>
          <w:b/>
        </w:rPr>
        <w:t>Private Rented</w:t>
      </w:r>
    </w:p>
    <w:p w14:paraId="39973293" w14:textId="77777777" w:rsidR="00201C53" w:rsidRPr="00A50BD6" w:rsidRDefault="00201C53" w:rsidP="00252C91">
      <w:pPr>
        <w:pStyle w:val="BodyText"/>
        <w:spacing w:line="276" w:lineRule="auto"/>
        <w:jc w:val="both"/>
      </w:pPr>
      <w:r w:rsidRPr="00A50BD6">
        <w:t>The Census tenure private rented includes a range of different living situations in practice, such as private rented/ other including households living “rent free”. Around 20% of the private rented sector are in this category, which will have included some benefit claimants whose housing benefit at the time was paid directly to their landlord. This could mean people whose rent is paid by their employer, including some people in the armed forces. Some housing association tenants may also have been counted as living in the private rented sector because of confusion about what a housing association is.</w:t>
      </w:r>
    </w:p>
    <w:p w14:paraId="787C0B63" w14:textId="77777777" w:rsidR="00201C53" w:rsidRDefault="00201C53" w:rsidP="00252C91">
      <w:pPr>
        <w:pStyle w:val="BodyText"/>
        <w:spacing w:line="276" w:lineRule="auto"/>
        <w:jc w:val="both"/>
        <w:rPr>
          <w:b/>
        </w:rPr>
      </w:pPr>
      <w:r w:rsidRPr="00047BE3">
        <w:rPr>
          <w:b/>
        </w:rPr>
        <w:t xml:space="preserve">Retirement Living </w:t>
      </w:r>
      <w:r>
        <w:rPr>
          <w:b/>
        </w:rPr>
        <w:t>o</w:t>
      </w:r>
      <w:r w:rsidRPr="00047BE3">
        <w:rPr>
          <w:b/>
        </w:rPr>
        <w:t>r Sheltered Housing</w:t>
      </w:r>
    </w:p>
    <w:p w14:paraId="49CDDAF0" w14:textId="77777777" w:rsidR="00201C53" w:rsidRDefault="00201C53" w:rsidP="00252C91">
      <w:pPr>
        <w:pStyle w:val="BodyText"/>
        <w:spacing w:line="276" w:lineRule="auto"/>
        <w:jc w:val="both"/>
      </w:pPr>
      <w:r>
        <w:t xml:space="preserve">Housing for older people which </w:t>
      </w:r>
      <w:r w:rsidRPr="00047BE3">
        <w:t xml:space="preserve">usually consists of purpose-built flats or bungalows with limited communal facilities such as a lounge, laundry room and guest room. It does not generally provide care </w:t>
      </w:r>
      <w:proofErr w:type="gramStart"/>
      <w:r w:rsidRPr="00047BE3">
        <w:t>services, but</w:t>
      </w:r>
      <w:proofErr w:type="gramEnd"/>
      <w:r w:rsidRPr="00047BE3">
        <w:t xml:space="preserve"> provides some support to enable residents to live independently. This can include </w:t>
      </w:r>
      <w:proofErr w:type="gramStart"/>
      <w:r w:rsidRPr="00047BE3">
        <w:t>24 hour</w:t>
      </w:r>
      <w:proofErr w:type="gramEnd"/>
      <w:r w:rsidRPr="00047BE3">
        <w:t xml:space="preserve"> on-site assistance (alarm) and a warden or house manager.</w:t>
      </w:r>
    </w:p>
    <w:p w14:paraId="7954FA55" w14:textId="77777777" w:rsidR="00201C53" w:rsidRPr="00047BE3" w:rsidRDefault="00201C53" w:rsidP="00252C91">
      <w:pPr>
        <w:pStyle w:val="BodyText"/>
        <w:spacing w:line="276" w:lineRule="auto"/>
        <w:jc w:val="both"/>
        <w:rPr>
          <w:b/>
        </w:rPr>
      </w:pPr>
      <w:r w:rsidRPr="00047BE3">
        <w:rPr>
          <w:b/>
        </w:rPr>
        <w:lastRenderedPageBreak/>
        <w:t xml:space="preserve">Residential Care Homes </w:t>
      </w:r>
      <w:r>
        <w:rPr>
          <w:b/>
        </w:rPr>
        <w:t>a</w:t>
      </w:r>
      <w:r w:rsidRPr="00047BE3">
        <w:rPr>
          <w:b/>
        </w:rPr>
        <w:t>nd Nursing Homes</w:t>
      </w:r>
    </w:p>
    <w:p w14:paraId="57E0399B" w14:textId="280C2204" w:rsidR="00C639E2" w:rsidRPr="00047BE3" w:rsidRDefault="00201C53" w:rsidP="00252C91">
      <w:pPr>
        <w:pStyle w:val="BodyText"/>
        <w:spacing w:line="276" w:lineRule="auto"/>
        <w:jc w:val="both"/>
      </w:pPr>
      <w:r>
        <w:t>Housing for older people comprising of</w:t>
      </w:r>
      <w:r w:rsidRPr="00047BE3">
        <w:t xml:space="preserve"> individual rooms within a residential building and provide a high level of care meeting all activities of daily living. They do not usually include support services for independent living. This type of housing can also include dementia care homes.</w:t>
      </w:r>
    </w:p>
    <w:p w14:paraId="4A211D34" w14:textId="77777777" w:rsidR="00201C53" w:rsidRDefault="00201C53" w:rsidP="00252C91">
      <w:pPr>
        <w:pStyle w:val="BodyText"/>
        <w:spacing w:line="276" w:lineRule="auto"/>
        <w:jc w:val="both"/>
        <w:rPr>
          <w:b/>
        </w:rPr>
      </w:pPr>
      <w:r>
        <w:rPr>
          <w:b/>
        </w:rPr>
        <w:t>Rightsizing</w:t>
      </w:r>
    </w:p>
    <w:p w14:paraId="736A2AF4" w14:textId="77777777" w:rsidR="00201C53" w:rsidRPr="0040775E" w:rsidRDefault="00201C53" w:rsidP="00252C91">
      <w:pPr>
        <w:pStyle w:val="BodyText"/>
        <w:spacing w:line="276" w:lineRule="auto"/>
        <w:jc w:val="both"/>
      </w:pPr>
      <w:r>
        <w:t xml:space="preserve">Households who wish to move into a property that is a more appropriate size for their needs can be said to be rightsizing. This is often used to refer to older households who may be living in large family homes but whose children have left, and who intend to </w:t>
      </w:r>
      <w:proofErr w:type="spellStart"/>
      <w:r>
        <w:t>rightsize</w:t>
      </w:r>
      <w:proofErr w:type="spellEnd"/>
      <w:r>
        <w:t xml:space="preserve"> to a smaller dwelling. The popularity of this trend is debatable as ties to existing communities and the home itself may outweigh issues of space. Other factors, including wealth, health, status and family circumstance also need to be taken into consideration, and it should not be assumed that all older households in large dwellings wish to </w:t>
      </w:r>
      <w:proofErr w:type="spellStart"/>
      <w:r>
        <w:t>rightsize</w:t>
      </w:r>
      <w:proofErr w:type="spellEnd"/>
      <w:r>
        <w:t>.</w:t>
      </w:r>
    </w:p>
    <w:p w14:paraId="4AFED564" w14:textId="77777777" w:rsidR="00201C53" w:rsidRPr="00A50BD6" w:rsidRDefault="00201C53" w:rsidP="00252C91">
      <w:pPr>
        <w:pStyle w:val="BodyText"/>
        <w:spacing w:line="276" w:lineRule="auto"/>
        <w:jc w:val="both"/>
        <w:rPr>
          <w:b/>
        </w:rPr>
      </w:pPr>
      <w:r w:rsidRPr="00A50BD6">
        <w:rPr>
          <w:b/>
        </w:rPr>
        <w:t>Rural Exception Sites</w:t>
      </w:r>
    </w:p>
    <w:p w14:paraId="2D4D35D2" w14:textId="77777777" w:rsidR="00201C53" w:rsidRPr="00404758" w:rsidRDefault="00201C53" w:rsidP="00252C91">
      <w:pPr>
        <w:pStyle w:val="BodyText"/>
        <w:spacing w:line="276" w:lineRule="auto"/>
        <w:jc w:val="both"/>
      </w:pPr>
      <w:r w:rsidRPr="00A50BD6">
        <w:t>Small sites used for affordable housing in perpetuity where sites would not normally be used for housing. Rural exception sites seek to address the needs of the local community by accommodating households who are either current residents or have an existing family or employment connection. Small numbers of market homes may be allowed at the local authority’s discretion, for example where essential to enable the delivery of affordable dwellings without grant funding.</w:t>
      </w:r>
    </w:p>
    <w:p w14:paraId="061680A0" w14:textId="77777777" w:rsidR="00201C53" w:rsidRPr="00A50BD6" w:rsidRDefault="00201C53" w:rsidP="00252C91">
      <w:pPr>
        <w:pStyle w:val="BodyText"/>
        <w:spacing w:line="276" w:lineRule="auto"/>
        <w:jc w:val="both"/>
        <w:rPr>
          <w:b/>
        </w:rPr>
      </w:pPr>
      <w:r w:rsidRPr="00A50BD6">
        <w:rPr>
          <w:b/>
        </w:rPr>
        <w:t>Shared Ownership</w:t>
      </w:r>
    </w:p>
    <w:p w14:paraId="28512A9B" w14:textId="77777777" w:rsidR="00201C53" w:rsidRPr="00A50BD6" w:rsidRDefault="00201C53" w:rsidP="00252C91">
      <w:pPr>
        <w:pStyle w:val="BodyText"/>
        <w:spacing w:line="276" w:lineRule="auto"/>
        <w:jc w:val="both"/>
      </w:pPr>
      <w:r w:rsidRPr="00A50BD6">
        <w:t>Housing where a purchaser part buys and part rents from a housing association or local authority. Typical purchase share is between 25% and 75%</w:t>
      </w:r>
      <w:r>
        <w:t xml:space="preserve"> (though this was lowered in 2021 to a minimum of 10%)</w:t>
      </w:r>
      <w:r w:rsidRPr="00A50BD6">
        <w:t xml:space="preserve">, and buyers are encouraged to buy the largest share they can afford. </w:t>
      </w:r>
      <w:proofErr w:type="gramStart"/>
      <w:r w:rsidRPr="00A50BD6">
        <w:t>Generally</w:t>
      </w:r>
      <w:proofErr w:type="gramEnd"/>
      <w:r w:rsidRPr="00A50BD6">
        <w:t xml:space="preserve"> applies to new build properties, but re</w:t>
      </w:r>
      <w:r w:rsidRPr="00A50BD6">
        <w:rPr>
          <w:rFonts w:ascii="Cambria Math" w:hAnsi="Cambria Math" w:cs="Cambria Math"/>
        </w:rPr>
        <w:t>‐</w:t>
      </w:r>
      <w:r w:rsidRPr="00A50BD6">
        <w:t xml:space="preserve">sales occasionally become available. There may be an opportunity to rent at intermediate rent level before purchasing a share </w:t>
      </w:r>
      <w:proofErr w:type="gramStart"/>
      <w:r w:rsidRPr="00A50BD6">
        <w:t>in order to</w:t>
      </w:r>
      <w:proofErr w:type="gramEnd"/>
      <w:r w:rsidRPr="00A50BD6">
        <w:t xml:space="preserve"> save/increase the deposit level</w:t>
      </w:r>
    </w:p>
    <w:p w14:paraId="4CDC43CA" w14:textId="77777777" w:rsidR="00201C53" w:rsidRPr="00A50BD6" w:rsidRDefault="00201C53" w:rsidP="00252C91">
      <w:pPr>
        <w:pStyle w:val="BodyText"/>
        <w:spacing w:line="276" w:lineRule="auto"/>
        <w:jc w:val="both"/>
        <w:rPr>
          <w:b/>
        </w:rPr>
      </w:pPr>
      <w:r w:rsidRPr="00A50BD6">
        <w:rPr>
          <w:b/>
        </w:rPr>
        <w:t>Sheltered Housing</w:t>
      </w:r>
      <w:r w:rsidRPr="00A50BD6">
        <w:rPr>
          <w:rStyle w:val="FootnoteReference"/>
          <w:b/>
        </w:rPr>
        <w:footnoteReference w:id="24"/>
      </w:r>
    </w:p>
    <w:p w14:paraId="0CFC78FF" w14:textId="5CFBE4EA" w:rsidR="00C639E2" w:rsidRPr="00A50BD6" w:rsidRDefault="00201C53" w:rsidP="00252C91">
      <w:pPr>
        <w:pStyle w:val="BodyText"/>
        <w:spacing w:line="276" w:lineRule="auto"/>
        <w:jc w:val="both"/>
      </w:pPr>
      <w:r w:rsidRPr="00A50BD6">
        <w:t xml:space="preserve">Sheltered housing (also known as retirement housing) means having your own flat or bungalow in a block, or on a small estate, where all the other residents are older people (usually over 55). With a few exceptions, all developments (or 'schemes') provide independent, self-contained homes with their own front doors. There are many different types of </w:t>
      </w:r>
      <w:proofErr w:type="gramStart"/>
      <w:r w:rsidRPr="00A50BD6">
        <w:t>scheme</w:t>
      </w:r>
      <w:proofErr w:type="gramEnd"/>
      <w:r w:rsidRPr="00A50BD6">
        <w:t xml:space="preserve">, both to rent and to buy. They usually contain between 15 and 40 properties, and range in size from studio flats (or 'bedsits') through to 2 and 3 bedroomed. Properties in most schemes are designed to make life a little easier for older people - with features like raised electric sockets, lowered worktops, walk-in showers, and so on. Some will usually be designed to accommodate wheelchair users. And they are usually linked to an emergency alarm service (sometimes called 'community alarm service') to call help if needed. Many schemes also have their own 'manager' or 'warden', either living on-site or nearby, whose job is to manage the </w:t>
      </w:r>
      <w:r w:rsidRPr="00A50BD6">
        <w:lastRenderedPageBreak/>
        <w:t>scheme and help arrange any services residents need. Managed schemes will also usually have some shared or communal facilities such as a lounge for residents to meet, a laundry, a guest flat and a garden.</w:t>
      </w:r>
    </w:p>
    <w:p w14:paraId="5564E77F" w14:textId="77777777" w:rsidR="00201C53" w:rsidRPr="00A50BD6" w:rsidRDefault="00201C53" w:rsidP="00252C91">
      <w:pPr>
        <w:pStyle w:val="BodyText"/>
        <w:spacing w:line="276" w:lineRule="auto"/>
        <w:jc w:val="both"/>
        <w:rPr>
          <w:b/>
          <w:bCs/>
        </w:rPr>
      </w:pPr>
      <w:r w:rsidRPr="00A50BD6">
        <w:rPr>
          <w:b/>
          <w:bCs/>
        </w:rPr>
        <w:t xml:space="preserve">Strategic Housing Land Availability Assessment </w:t>
      </w:r>
    </w:p>
    <w:p w14:paraId="1B11D8AB" w14:textId="327DE14A" w:rsidR="00201C53" w:rsidRPr="00A50BD6" w:rsidRDefault="00201C53" w:rsidP="00252C91">
      <w:pPr>
        <w:pStyle w:val="BodyText"/>
        <w:spacing w:line="276" w:lineRule="auto"/>
        <w:jc w:val="both"/>
      </w:pPr>
      <w:r w:rsidRPr="00A50BD6">
        <w:t>A Strategic Housing Land Availability Assessment (SHLAA) is a document prepared by one or more local planning authorities to establish realistic assumptions about the availability, suitability and the likely economic viability of land to meet the identi</w:t>
      </w:r>
      <w:r>
        <w:t xml:space="preserve">fied need for housing over </w:t>
      </w:r>
      <w:r w:rsidR="0096304E">
        <w:t>the Neighbourhood Plan period</w:t>
      </w:r>
      <w:r w:rsidRPr="00A50BD6">
        <w:t xml:space="preserve">.  SHLAAs are sometimes also called LAAs (Land Availability Assessments) or HELAAs (Housing and Economic Land Availability Assessments) </w:t>
      </w:r>
      <w:proofErr w:type="gramStart"/>
      <w:r w:rsidRPr="00A50BD6">
        <w:t>so as to</w:t>
      </w:r>
      <w:proofErr w:type="gramEnd"/>
      <w:r w:rsidRPr="00A50BD6">
        <w:t xml:space="preserve"> integrate the need to balance assessed housing and economic needs as described below.</w:t>
      </w:r>
    </w:p>
    <w:p w14:paraId="16B1D052" w14:textId="77777777" w:rsidR="00201C53" w:rsidRPr="00A50BD6" w:rsidRDefault="00201C53" w:rsidP="00252C91">
      <w:pPr>
        <w:pStyle w:val="BodyText"/>
        <w:spacing w:line="276" w:lineRule="auto"/>
        <w:jc w:val="both"/>
        <w:rPr>
          <w:b/>
        </w:rPr>
      </w:pPr>
      <w:r w:rsidRPr="00A50BD6">
        <w:rPr>
          <w:b/>
          <w:bCs/>
        </w:rPr>
        <w:t>Strategic Housing Market Assessment (NPPF Definition)</w:t>
      </w:r>
    </w:p>
    <w:p w14:paraId="3E91961B" w14:textId="70AA43B1" w:rsidR="00201C53" w:rsidRPr="00A50BD6" w:rsidRDefault="00201C53" w:rsidP="00252C91">
      <w:pPr>
        <w:pStyle w:val="BodyText"/>
        <w:spacing w:line="276" w:lineRule="auto"/>
        <w:jc w:val="both"/>
      </w:pPr>
      <w:r w:rsidRPr="00A50BD6">
        <w:t>A Strategic Housing Market Assessment (SHMA) is a document prepared by one or more local planning authorities to assess their housing needs under the 2012 version of the NPPF, usually across administrative boundaries to encompass the whole housing market area. The NPPF makes clear that SHMAs should identify the scale and mix of housing and the range of tenures the local populat</w:t>
      </w:r>
      <w:r>
        <w:t xml:space="preserve">ion is likely to need over </w:t>
      </w:r>
      <w:r w:rsidR="0096304E">
        <w:t>the Neighbourhood Plan period</w:t>
      </w:r>
      <w:r w:rsidRPr="00A50BD6">
        <w:t>. Sometimes SHMAs are combined with Economic Development Needs Assessments to create documents known as HEDNAs (Housing and Economic Development Needs Assessments).</w:t>
      </w:r>
    </w:p>
    <w:p w14:paraId="72386C1D" w14:textId="77777777" w:rsidR="00201C53" w:rsidRPr="00A50BD6" w:rsidRDefault="00201C53" w:rsidP="00252C91">
      <w:pPr>
        <w:pStyle w:val="BodyText"/>
        <w:spacing w:line="276" w:lineRule="auto"/>
        <w:jc w:val="both"/>
        <w:rPr>
          <w:b/>
        </w:rPr>
      </w:pPr>
      <w:r w:rsidRPr="00A50BD6">
        <w:rPr>
          <w:b/>
        </w:rPr>
        <w:t xml:space="preserve">Specialist Housing for </w:t>
      </w:r>
      <w:r>
        <w:rPr>
          <w:b/>
        </w:rPr>
        <w:t>Older People</w:t>
      </w:r>
    </w:p>
    <w:p w14:paraId="79987A5C" w14:textId="77777777" w:rsidR="00201C53" w:rsidRPr="00A50BD6" w:rsidRDefault="00201C53" w:rsidP="00252C91">
      <w:pPr>
        <w:pStyle w:val="BodyText"/>
        <w:spacing w:line="276" w:lineRule="auto"/>
        <w:jc w:val="both"/>
      </w:pPr>
      <w:r w:rsidRPr="00A50BD6">
        <w:t xml:space="preserve">Specialist housing for </w:t>
      </w:r>
      <w:r>
        <w:t>Older People</w:t>
      </w:r>
      <w:r w:rsidRPr="00A50BD6">
        <w:t xml:space="preserve">, sometimes known as specialist accommodation for </w:t>
      </w:r>
      <w:r>
        <w:t>older people</w:t>
      </w:r>
      <w:r w:rsidRPr="00A50BD6">
        <w:t>, encompasses a wide range of housing types specifically aimed at older people, which may often be restricted to those in certain older age groups (usually 55+ or 65+). This could include residential institutions, sometimes known as care homes, sheltered housing, extra care housing, retirement housing and a range of other potential types of housing which has been designed and built to serve the needs of older people, including often providing care or other additional services. This housing can be provided in a range of tenures (often on a rented or leasehold basis).</w:t>
      </w:r>
    </w:p>
    <w:p w14:paraId="699B15ED" w14:textId="77777777" w:rsidR="00201C53" w:rsidRPr="00A50BD6" w:rsidRDefault="00201C53" w:rsidP="00252C91">
      <w:pPr>
        <w:pStyle w:val="BodyText"/>
        <w:spacing w:line="276" w:lineRule="auto"/>
        <w:jc w:val="both"/>
        <w:rPr>
          <w:b/>
        </w:rPr>
      </w:pPr>
      <w:r w:rsidRPr="00A50BD6">
        <w:rPr>
          <w:b/>
        </w:rPr>
        <w:t>Social Rented Housing</w:t>
      </w:r>
    </w:p>
    <w:p w14:paraId="7DA524B2" w14:textId="77777777" w:rsidR="00201C53" w:rsidRPr="00A50BD6" w:rsidRDefault="00201C53" w:rsidP="00252C91">
      <w:pPr>
        <w:spacing w:line="276" w:lineRule="auto"/>
        <w:jc w:val="both"/>
      </w:pPr>
      <w:r w:rsidRPr="00A50BD6">
        <w:t>Social rented housing is owned by local authorities and private registered providers (as defined in Section 80 of the Housing and Regeneration Act 2008.). Guideline target rents for this tenure are determined through the national rent regime. It may also be owned by other persons and provided under equivalent rental arrangements to the above, as agreed with the local authority or with Homes England.</w:t>
      </w:r>
      <w:r w:rsidRPr="00A50BD6">
        <w:rPr>
          <w:rStyle w:val="FootnoteReference"/>
        </w:rPr>
        <w:footnoteReference w:id="25"/>
      </w:r>
    </w:p>
    <w:p w14:paraId="025A6DA8" w14:textId="023DB507" w:rsidR="008129C3" w:rsidRPr="00536B5B" w:rsidRDefault="008129C3" w:rsidP="00252C91">
      <w:pPr>
        <w:pStyle w:val="ListNumber"/>
        <w:numPr>
          <w:ilvl w:val="0"/>
          <w:numId w:val="0"/>
        </w:numPr>
        <w:spacing w:line="276" w:lineRule="auto"/>
        <w:ind w:left="425"/>
        <w:jc w:val="both"/>
        <w:rPr>
          <w:szCs w:val="24"/>
        </w:rPr>
      </w:pPr>
    </w:p>
    <w:bookmarkEnd w:id="104"/>
    <w:bookmarkEnd w:id="106"/>
    <w:p w14:paraId="622D8A10" w14:textId="77777777" w:rsidR="008129C3" w:rsidRDefault="008129C3" w:rsidP="00252C91">
      <w:pPr>
        <w:pStyle w:val="ListNumber"/>
        <w:numPr>
          <w:ilvl w:val="0"/>
          <w:numId w:val="0"/>
        </w:numPr>
        <w:spacing w:line="276" w:lineRule="auto"/>
        <w:ind w:left="425" w:hanging="425"/>
        <w:jc w:val="both"/>
        <w:sectPr w:rsidR="008129C3" w:rsidSect="001648C2">
          <w:pgSz w:w="11907" w:h="16839" w:code="9"/>
          <w:pgMar w:top="1276" w:right="1080" w:bottom="851" w:left="993" w:header="432" w:footer="432" w:gutter="0"/>
          <w:pgNumType w:start="1"/>
          <w:cols w:space="720"/>
          <w:docGrid w:linePitch="360"/>
        </w:sectPr>
      </w:pPr>
    </w:p>
    <w:bookmarkEnd w:id="70"/>
    <w:bookmarkEnd w:id="71"/>
    <w:bookmarkEnd w:id="72"/>
    <w:p w14:paraId="57ED4C46" w14:textId="6EABCFF3" w:rsidR="008129C3" w:rsidRDefault="008129C3" w:rsidP="00252C91">
      <w:pPr>
        <w:pStyle w:val="Appendix"/>
        <w:numPr>
          <w:ilvl w:val="0"/>
          <w:numId w:val="0"/>
        </w:numPr>
        <w:jc w:val="both"/>
      </w:pPr>
    </w:p>
    <w:bookmarkEnd w:id="37"/>
    <w:p w14:paraId="485DE869" w14:textId="77777777" w:rsidR="00460F70" w:rsidRDefault="007215E2" w:rsidP="00252C91">
      <w:pPr>
        <w:jc w:val="both"/>
      </w:pPr>
      <w:r w:rsidRPr="004E1B08">
        <w:rPr>
          <w:noProof/>
          <w:lang w:eastAsia="en-GB"/>
        </w:rPr>
        <mc:AlternateContent>
          <mc:Choice Requires="wps">
            <w:drawing>
              <wp:anchor distT="0" distB="0" distL="114300" distR="114300" simplePos="0" relativeHeight="251658244" behindDoc="1" locked="0" layoutInCell="0" allowOverlap="1" wp14:anchorId="0928059F" wp14:editId="5F6C49DA">
                <wp:simplePos x="0" y="0"/>
                <wp:positionH relativeFrom="page">
                  <wp:posOffset>0</wp:posOffset>
                </wp:positionH>
                <wp:positionV relativeFrom="page">
                  <wp:posOffset>6350</wp:posOffset>
                </wp:positionV>
                <wp:extent cx="6068695" cy="10386060"/>
                <wp:effectExtent l="0" t="0" r="2540" b="0"/>
                <wp:wrapNone/>
                <wp:docPr id="12" name="Rectangle 12"/>
                <wp:cNvGraphicFramePr/>
                <a:graphic xmlns:a="http://schemas.openxmlformats.org/drawingml/2006/main">
                  <a:graphicData uri="http://schemas.microsoft.com/office/word/2010/wordprocessingShape">
                    <wps:wsp>
                      <wps:cNvSpPr/>
                      <wps:spPr>
                        <a:xfrm>
                          <a:off x="0" y="0"/>
                          <a:ext cx="6068695" cy="10386060"/>
                        </a:xfrm>
                        <a:prstGeom prst="rect">
                          <a:avLst/>
                        </a:prstGeom>
                        <a:solidFill>
                          <a:srgbClr val="0087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B4D6D61" id="Rectangle 12" o:spid="_x0000_s1026" style="position:absolute;margin-left:0;margin-top:.5pt;width:477.85pt;height:817.8pt;z-index:-25165823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" o:allowincell="f" fillcolor="#008768" stroked="f" strokeweight="2pt">
                <w10:wrap anchorx="page" anchory="page"/>
              </v:rect>
            </w:pict>
          </mc:Fallback>
        </mc:AlternateContent>
      </w:r>
    </w:p>
    <w:tbl>
      <w:tblPr>
        <w:tblStyle w:val="TableGrid"/>
        <w:tblpPr w:leftFromText="181" w:rightFromText="181" w:tblpYSpec="center"/>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925"/>
        <w:gridCol w:w="3101"/>
      </w:tblGrid>
      <w:tr w:rsidR="004B4326" w:rsidRPr="004B4326" w14:paraId="465C08E7" w14:textId="77777777" w:rsidTr="000B6940">
        <w:trPr>
          <w:trHeight w:val="4500"/>
        </w:trPr>
        <w:tc>
          <w:tcPr>
            <w:tcW w:w="5925" w:type="dxa"/>
            <w:shd w:val="clear" w:color="auto" w:fill="auto"/>
            <w:vAlign w:val="bottom"/>
          </w:tcPr>
          <w:p w14:paraId="55A9EED7" w14:textId="77777777" w:rsidR="00DE18EB" w:rsidRPr="00B20C8D" w:rsidRDefault="00B20C8D" w:rsidP="00252C91">
            <w:pPr>
              <w:pStyle w:val="Coverfooter"/>
              <w:jc w:val="both"/>
              <w:rPr>
                <w:color w:val="FFFFFF"/>
              </w:rPr>
            </w:pPr>
            <w:bookmarkStart w:id="242" w:name="Contact"/>
            <w:bookmarkStart w:id="243" w:name="BackCoverText" w:colFirst="0" w:colLast="0"/>
            <w:bookmarkStart w:id="244" w:name="BackCoverTable1" w:colFirst="0" w:colLast="0"/>
            <w:r w:rsidRPr="00B20C8D">
              <w:rPr>
                <w:color w:val="FFFFFF"/>
              </w:rPr>
              <w:t xml:space="preserve"> </w:t>
            </w:r>
            <w:bookmarkEnd w:id="242"/>
          </w:p>
          <w:p w14:paraId="733CA11E" w14:textId="77777777" w:rsidR="00DE18EB" w:rsidRPr="00B20C8D" w:rsidRDefault="00DE18EB" w:rsidP="00252C91">
            <w:pPr>
              <w:pStyle w:val="Coverfooter"/>
              <w:jc w:val="both"/>
              <w:rPr>
                <w:color w:val="FFFFFF"/>
              </w:rPr>
            </w:pPr>
          </w:p>
          <w:p w14:paraId="77FDF521" w14:textId="77777777" w:rsidR="00493CF1" w:rsidRPr="00B20C8D" w:rsidRDefault="00B20C8D" w:rsidP="00252C91">
            <w:pPr>
              <w:pStyle w:val="Coverfooter"/>
              <w:jc w:val="both"/>
              <w:rPr>
                <w:color w:val="FFFFFF"/>
              </w:rPr>
            </w:pPr>
            <w:bookmarkStart w:id="245" w:name="OfficeAddress"/>
            <w:r w:rsidRPr="00B20C8D">
              <w:rPr>
                <w:color w:val="FFFFFF"/>
              </w:rPr>
              <w:t xml:space="preserve">aecom.com </w:t>
            </w:r>
            <w:bookmarkEnd w:id="245"/>
            <w:r w:rsidR="00493CF1" w:rsidRPr="00B20C8D">
              <w:rPr>
                <w:color w:val="FFFFFF"/>
              </w:rPr>
              <w:t xml:space="preserve"> </w:t>
            </w:r>
          </w:p>
          <w:p w14:paraId="64B1EF4B" w14:textId="77777777" w:rsidR="00493CF1" w:rsidRPr="00B20C8D" w:rsidRDefault="00493CF1" w:rsidP="00252C91">
            <w:pPr>
              <w:pStyle w:val="Coverfooter"/>
              <w:jc w:val="both"/>
              <w:rPr>
                <w:color w:val="FFFFFF"/>
              </w:rPr>
            </w:pPr>
          </w:p>
        </w:tc>
        <w:tc>
          <w:tcPr>
            <w:tcW w:w="3101" w:type="dxa"/>
            <w:shd w:val="clear" w:color="auto" w:fill="auto"/>
            <w:vAlign w:val="bottom"/>
          </w:tcPr>
          <w:p w14:paraId="1935F746" w14:textId="77777777" w:rsidR="00493CF1" w:rsidRPr="004B4326" w:rsidRDefault="00493CF1" w:rsidP="00252C91">
            <w:pPr>
              <w:pStyle w:val="Coverfooter"/>
              <w:jc w:val="both"/>
              <w:rPr>
                <w:color w:val="auto"/>
              </w:rPr>
            </w:pPr>
          </w:p>
        </w:tc>
      </w:tr>
    </w:tbl>
    <w:bookmarkEnd w:id="243"/>
    <w:bookmarkEnd w:id="244"/>
    <w:p w14:paraId="53CE62E7" w14:textId="77777777" w:rsidR="00493CF1" w:rsidRPr="005137B7" w:rsidRDefault="007669A8" w:rsidP="00252C91">
      <w:pPr>
        <w:jc w:val="both"/>
      </w:pPr>
      <w:r w:rsidRPr="008B05F5">
        <w:rPr>
          <w:noProof/>
        </w:rPr>
        <w:drawing>
          <wp:anchor distT="0" distB="0" distL="114300" distR="114300" simplePos="0" relativeHeight="251658245" behindDoc="0" locked="0" layoutInCell="1" allowOverlap="1" wp14:anchorId="585A06A9" wp14:editId="10BE72C4">
            <wp:simplePos x="0" y="0"/>
            <wp:positionH relativeFrom="column">
              <wp:posOffset>0</wp:posOffset>
            </wp:positionH>
            <mc:AlternateContent>
              <mc:Choice Requires="wp14">
                <wp:positionV relativeFrom="page">
                  <wp14:pctPosVOffset>95000</wp14:pctPosVOffset>
                </wp:positionV>
              </mc:Choice>
              <mc:Fallback>
                <wp:positionV relativeFrom="page">
                  <wp:posOffset>10157460</wp:posOffset>
                </wp:positionV>
              </mc:Fallback>
            </mc:AlternateContent>
            <wp:extent cx="828720" cy="171000"/>
            <wp:effectExtent l="0" t="0" r="0" b="635"/>
            <wp:wrapNone/>
            <wp:docPr id="8" name="Picture 8" descr="Back page AEC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Back page AECOM Logo"/>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28720" cy="171000"/>
                    </a:xfrm>
                    <a:prstGeom prst="rect">
                      <a:avLst/>
                    </a:prstGeom>
                  </pic:spPr>
                </pic:pic>
              </a:graphicData>
            </a:graphic>
            <wp14:sizeRelH relativeFrom="margin">
              <wp14:pctWidth>0</wp14:pctWidth>
            </wp14:sizeRelH>
            <wp14:sizeRelV relativeFrom="margin">
              <wp14:pctHeight>0</wp14:pctHeight>
            </wp14:sizeRelV>
          </wp:anchor>
        </w:drawing>
      </w:r>
    </w:p>
    <w:sectPr w:rsidR="00493CF1" w:rsidRPr="005137B7" w:rsidSect="00A87CF6">
      <w:headerReference w:type="default" r:id="rId39"/>
      <w:footerReference w:type="default" r:id="rId40"/>
      <w:pgSz w:w="11906" w:h="16838"/>
      <w:pgMar w:top="1134" w:right="1440" w:bottom="851" w:left="1440" w:header="426" w:footer="28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8" w:author="Christine Thomas" w:date="2024-12-18T11:16:00Z" w:initials="CT">
    <w:p w14:paraId="65067616" w14:textId="77777777" w:rsidR="00505B6A" w:rsidRDefault="00505B6A" w:rsidP="00505B6A">
      <w:pPr>
        <w:pStyle w:val="CommentText"/>
      </w:pPr>
      <w:r>
        <w:rPr>
          <w:rStyle w:val="CommentReference"/>
        </w:rPr>
        <w:annotationRef/>
      </w:r>
      <w:r>
        <w:t>Durham County Council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50676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C92FEF7" w16cex:dateUtc="2024-12-18T1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5067616" w16cid:durableId="3C92FE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A32D00" w14:textId="77777777" w:rsidR="009C5385" w:rsidRDefault="009C5385" w:rsidP="00253171">
      <w:pPr>
        <w:spacing w:line="240" w:lineRule="auto"/>
      </w:pPr>
      <w:r>
        <w:separator/>
      </w:r>
    </w:p>
  </w:endnote>
  <w:endnote w:type="continuationSeparator" w:id="0">
    <w:p w14:paraId="311FDFDD" w14:textId="77777777" w:rsidR="009C5385" w:rsidRDefault="009C5385" w:rsidP="00253171">
      <w:pPr>
        <w:spacing w:line="240" w:lineRule="auto"/>
      </w:pPr>
      <w:r>
        <w:continuationSeparator/>
      </w:r>
    </w:p>
  </w:endnote>
  <w:endnote w:type="continuationNotice" w:id="1">
    <w:p w14:paraId="450D7107" w14:textId="77777777" w:rsidR="009C5385" w:rsidRDefault="009C53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2101834659"/>
      <w:docPartObj>
        <w:docPartGallery w:val="Page Numbers (Bottom of Page)"/>
        <w:docPartUnique/>
      </w:docPartObj>
    </w:sdtPr>
    <w:sdtEndPr>
      <w:rPr>
        <w:noProof/>
      </w:rPr>
    </w:sdtEndPr>
    <w:sdtContent>
      <w:p w14:paraId="34F4F65F" w14:textId="79B8B928" w:rsidR="00BE06EB" w:rsidRDefault="00BE06EB" w:rsidP="00BE06EB">
        <w:pPr>
          <w:pStyle w:val="Footer"/>
          <w:tabs>
            <w:tab w:val="clear" w:pos="9026"/>
            <w:tab w:val="right" w:pos="8789"/>
          </w:tabs>
          <w:ind w:right="-330"/>
          <w:jc w:val="right"/>
        </w:pPr>
        <w:r>
          <w:rPr>
            <w:noProof w:val="0"/>
          </w:rPr>
          <w:fldChar w:fldCharType="begin"/>
        </w:r>
        <w:r>
          <w:instrText xml:space="preserve"> PAGE   \* MERGEFORMAT </w:instrText>
        </w:r>
        <w:r>
          <w:rPr>
            <w:noProof w:val="0"/>
          </w:rPr>
          <w:fldChar w:fldCharType="separate"/>
        </w:r>
        <w:r>
          <w:t>2</w:t>
        </w:r>
        <w:r>
          <w:fldChar w:fldCharType="end"/>
        </w:r>
      </w:p>
    </w:sdtContent>
  </w:sdt>
  <w:p w14:paraId="5B7AEDD5" w14:textId="77777777" w:rsidR="00BE06EB" w:rsidRDefault="00BE06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801684443"/>
      <w:docPartObj>
        <w:docPartGallery w:val="Page Numbers (Bottom of Page)"/>
        <w:docPartUnique/>
      </w:docPartObj>
    </w:sdtPr>
    <w:sdtEndPr>
      <w:rPr>
        <w:noProof/>
      </w:rPr>
    </w:sdtEndPr>
    <w:sdtContent>
      <w:p w14:paraId="24424FE1" w14:textId="77777777" w:rsidR="00BE06EB" w:rsidRDefault="00BE06EB" w:rsidP="002E1EF2">
        <w:pPr>
          <w:pStyle w:val="Footer"/>
          <w:tabs>
            <w:tab w:val="clear" w:pos="9026"/>
            <w:tab w:val="right" w:pos="8789"/>
          </w:tabs>
          <w:ind w:right="-283"/>
          <w:jc w:val="right"/>
        </w:pPr>
        <w:r>
          <w:rPr>
            <w:noProof w:val="0"/>
          </w:rPr>
          <w:fldChar w:fldCharType="begin"/>
        </w:r>
        <w:r>
          <w:instrText xml:space="preserve"> PAGE   \* MERGEFORMAT </w:instrText>
        </w:r>
        <w:r>
          <w:rPr>
            <w:noProof w:val="0"/>
          </w:rPr>
          <w:fldChar w:fldCharType="separate"/>
        </w:r>
        <w:r>
          <w:t>2</w:t>
        </w:r>
        <w:r>
          <w:fldChar w:fldCharType="end"/>
        </w:r>
      </w:p>
    </w:sdtContent>
  </w:sdt>
  <w:p w14:paraId="1EFF3691" w14:textId="77777777" w:rsidR="00BE06EB" w:rsidRDefault="00BE06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976961818"/>
      <w:docPartObj>
        <w:docPartGallery w:val="Page Numbers (Bottom of Page)"/>
        <w:docPartUnique/>
      </w:docPartObj>
    </w:sdtPr>
    <w:sdtEndPr>
      <w:rPr>
        <w:noProof/>
      </w:rPr>
    </w:sdtEndPr>
    <w:sdtContent>
      <w:p w14:paraId="61292776" w14:textId="77777777" w:rsidR="00BE06EB" w:rsidRDefault="00BE06EB" w:rsidP="002E1EF2">
        <w:pPr>
          <w:pStyle w:val="Footer"/>
          <w:tabs>
            <w:tab w:val="clear" w:pos="9026"/>
            <w:tab w:val="left" w:pos="8647"/>
            <w:tab w:val="left" w:pos="8789"/>
            <w:tab w:val="left" w:pos="9015"/>
            <w:tab w:val="left" w:pos="9356"/>
          </w:tabs>
          <w:ind w:right="53"/>
          <w:jc w:val="right"/>
        </w:pPr>
        <w:r>
          <w:rPr>
            <w:noProof w:val="0"/>
          </w:rPr>
          <w:fldChar w:fldCharType="begin"/>
        </w:r>
        <w:r>
          <w:instrText xml:space="preserve"> PAGE   \* MERGEFORMAT </w:instrText>
        </w:r>
        <w:r>
          <w:rPr>
            <w:noProof w:val="0"/>
          </w:rPr>
          <w:fldChar w:fldCharType="separate"/>
        </w:r>
        <w:r>
          <w:t>2</w:t>
        </w:r>
        <w:r>
          <w:fldChar w:fldCharType="end"/>
        </w:r>
      </w:p>
    </w:sdtContent>
  </w:sdt>
  <w:p w14:paraId="02DBC073" w14:textId="77777777" w:rsidR="00BE06EB" w:rsidRPr="00B20C8D" w:rsidRDefault="00BE06EB" w:rsidP="00493CF1">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61418437"/>
      <w:docPartObj>
        <w:docPartGallery w:val="Page Numbers (Bottom of Page)"/>
        <w:docPartUnique/>
      </w:docPartObj>
    </w:sdtPr>
    <w:sdtEndPr>
      <w:rPr>
        <w:noProof/>
      </w:rPr>
    </w:sdtEndPr>
    <w:sdtContent>
      <w:p w14:paraId="3B7C4210" w14:textId="61597897" w:rsidR="00B67A71" w:rsidRDefault="00B67A71">
        <w:pPr>
          <w:pStyle w:val="Footer"/>
          <w:jc w:val="right"/>
        </w:pPr>
        <w:r>
          <w:rPr>
            <w:noProof w:val="0"/>
          </w:rPr>
          <w:fldChar w:fldCharType="begin"/>
        </w:r>
        <w:r>
          <w:instrText xml:space="preserve"> PAGE   \* MERGEFORMAT </w:instrText>
        </w:r>
        <w:r>
          <w:rPr>
            <w:noProof w:val="0"/>
          </w:rPr>
          <w:fldChar w:fldCharType="separate"/>
        </w:r>
        <w:r>
          <w:t>2</w:t>
        </w:r>
        <w:r>
          <w:fldChar w:fldCharType="end"/>
        </w:r>
      </w:p>
    </w:sdtContent>
  </w:sdt>
  <w:p w14:paraId="3DE8D0A9" w14:textId="77777777" w:rsidR="00B67A71" w:rsidRPr="00B20C8D" w:rsidRDefault="00B67A71" w:rsidP="00493CF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7F1E81" w14:textId="77777777" w:rsidR="009C5385" w:rsidRPr="00253171" w:rsidRDefault="009C5385" w:rsidP="00253171">
      <w:pPr>
        <w:spacing w:line="240" w:lineRule="auto"/>
        <w:rPr>
          <w:color w:val="008768" w:themeColor="accent1"/>
        </w:rPr>
      </w:pPr>
      <w:r w:rsidRPr="00253171">
        <w:rPr>
          <w:color w:val="008768" w:themeColor="accent1"/>
        </w:rPr>
        <w:separator/>
      </w:r>
      <w:r w:rsidRPr="00253171">
        <w:rPr>
          <w:color w:val="008768" w:themeColor="accent1"/>
        </w:rPr>
        <w:separator/>
      </w:r>
    </w:p>
  </w:footnote>
  <w:footnote w:type="continuationSeparator" w:id="0">
    <w:p w14:paraId="4E819BFF" w14:textId="77777777" w:rsidR="009C5385" w:rsidRPr="00253171" w:rsidRDefault="009C5385" w:rsidP="00253171">
      <w:pPr>
        <w:spacing w:line="240" w:lineRule="auto"/>
        <w:rPr>
          <w:color w:val="008768" w:themeColor="accent1"/>
        </w:rPr>
      </w:pPr>
      <w:r w:rsidRPr="00253171">
        <w:rPr>
          <w:color w:val="008768" w:themeColor="accent1"/>
        </w:rPr>
        <w:separator/>
      </w:r>
      <w:r w:rsidRPr="00253171">
        <w:rPr>
          <w:color w:val="008768" w:themeColor="accent1"/>
        </w:rPr>
        <w:separator/>
      </w:r>
    </w:p>
  </w:footnote>
  <w:footnote w:type="continuationNotice" w:id="1">
    <w:p w14:paraId="07B0EED8" w14:textId="77777777" w:rsidR="009C5385" w:rsidRDefault="009C5385">
      <w:pPr>
        <w:spacing w:line="240" w:lineRule="auto"/>
      </w:pPr>
    </w:p>
  </w:footnote>
  <w:footnote w:id="2">
    <w:p w14:paraId="38735982" w14:textId="77777777" w:rsidR="00BE4B9A" w:rsidRPr="00EF1B56" w:rsidRDefault="00BE4B9A" w:rsidP="00BE4B9A">
      <w:pPr>
        <w:pStyle w:val="FootnoteText"/>
        <w:rPr>
          <w:sz w:val="20"/>
        </w:rPr>
      </w:pPr>
      <w:r w:rsidRPr="00EF1B56">
        <w:rPr>
          <w:rStyle w:val="FootnoteReference"/>
          <w:sz w:val="20"/>
        </w:rPr>
        <w:footnoteRef/>
      </w:r>
      <w:r w:rsidRPr="00EF1B56">
        <w:rPr>
          <w:sz w:val="20"/>
        </w:rPr>
        <w:t xml:space="preserve"> </w:t>
      </w:r>
      <w:hyperlink r:id="rId1" w:history="1">
        <w:r w:rsidRPr="00EF1B56">
          <w:rPr>
            <w:color w:val="0000FF"/>
            <w:sz w:val="20"/>
            <w:u w:val="single"/>
          </w:rPr>
          <w:t>National Planning Policy Framework</w:t>
        </w:r>
      </w:hyperlink>
      <w:r w:rsidRPr="00EF1B56">
        <w:rPr>
          <w:sz w:val="20"/>
        </w:rPr>
        <w:t xml:space="preserve"> published in December 2024</w:t>
      </w:r>
    </w:p>
  </w:footnote>
  <w:footnote w:id="3">
    <w:p w14:paraId="3C3DA0B3" w14:textId="77777777" w:rsidR="00BE4B9A" w:rsidRPr="00EF1B56" w:rsidRDefault="00BE4B9A" w:rsidP="00BE4B9A">
      <w:pPr>
        <w:pStyle w:val="FootnoteText"/>
        <w:rPr>
          <w:sz w:val="20"/>
        </w:rPr>
      </w:pPr>
      <w:r w:rsidRPr="00EF1B56">
        <w:rPr>
          <w:rStyle w:val="FootnoteReference"/>
          <w:sz w:val="20"/>
        </w:rPr>
        <w:footnoteRef/>
      </w:r>
      <w:r w:rsidRPr="00EF1B56">
        <w:rPr>
          <w:sz w:val="20"/>
        </w:rPr>
        <w:t xml:space="preserve"> </w:t>
      </w:r>
      <w:hyperlink r:id="rId2" w:history="1">
        <w:r w:rsidRPr="00EF1B56">
          <w:rPr>
            <w:color w:val="0000FF"/>
            <w:sz w:val="20"/>
            <w:u w:val="single"/>
          </w:rPr>
          <w:t>Housing and economic needs assessment - GOV.UK</w:t>
        </w:r>
      </w:hyperlink>
      <w:r w:rsidRPr="00EF1B56">
        <w:rPr>
          <w:sz w:val="20"/>
        </w:rPr>
        <w:t xml:space="preserve"> published in December 2024</w:t>
      </w:r>
    </w:p>
  </w:footnote>
  <w:footnote w:id="4">
    <w:p w14:paraId="0B132438" w14:textId="6AEF639F" w:rsidR="00042A1A" w:rsidRDefault="00042A1A" w:rsidP="00032207">
      <w:pPr>
        <w:pStyle w:val="FootnoteText"/>
      </w:pPr>
      <w:r>
        <w:rPr>
          <w:rStyle w:val="FootnoteReference"/>
        </w:rPr>
        <w:footnoteRef/>
      </w:r>
      <w:r>
        <w:t xml:space="preserve"> Available at </w:t>
      </w:r>
      <w:r w:rsidR="00705656" w:rsidRPr="00705656">
        <w:t>https://democracy.durham.gov.uk/documents/s182218/REG%202407.pdf</w:t>
      </w:r>
    </w:p>
  </w:footnote>
  <w:footnote w:id="5">
    <w:p w14:paraId="733268CF" w14:textId="66E2F163" w:rsidR="002A03D9" w:rsidRDefault="002A03D9" w:rsidP="00032207">
      <w:pPr>
        <w:pStyle w:val="FootnoteText"/>
      </w:pPr>
      <w:r>
        <w:rPr>
          <w:rStyle w:val="FootnoteReference"/>
        </w:rPr>
        <w:footnoteRef/>
      </w:r>
      <w:r>
        <w:t xml:space="preserve"> </w:t>
      </w:r>
      <w:r w:rsidR="00CA568A">
        <w:t xml:space="preserve">Available at: </w:t>
      </w:r>
      <w:hyperlink r:id="rId3" w:history="1">
        <w:r w:rsidR="001015F8" w:rsidRPr="00AA02F2">
          <w:rPr>
            <w:rStyle w:val="Hyperlink"/>
          </w:rPr>
          <w:t>https://www.durham.gov.uk/media/45772/County-Durham-Strategic-Housing-Market-Assessment/pdf/CountyDurhamStrategicHousingMarketAssessment.pdf?m=1732023576087</w:t>
        </w:r>
      </w:hyperlink>
      <w:r w:rsidR="001015F8">
        <w:t xml:space="preserve"> </w:t>
      </w:r>
    </w:p>
  </w:footnote>
  <w:footnote w:id="6">
    <w:p w14:paraId="33275933" w14:textId="77777777" w:rsidR="00B67A71" w:rsidRDefault="00B67A71" w:rsidP="00032207">
      <w:pPr>
        <w:pStyle w:val="FootnoteText"/>
      </w:pPr>
      <w:r>
        <w:rPr>
          <w:rStyle w:val="FootnoteReference"/>
        </w:rPr>
        <w:footnoteRef/>
      </w:r>
      <w:r>
        <w:t xml:space="preserve"> A description of the Basic Conditions of Neighbourhood Planning is available at </w:t>
      </w:r>
      <w:hyperlink r:id="rId4" w:anchor="basic-conditions-for-neighbourhood-plan-to-referendum" w:history="1">
        <w:r w:rsidRPr="0010158B">
          <w:rPr>
            <w:rStyle w:val="Hyperlink"/>
          </w:rPr>
          <w:t>https://www.gov.uk/guidance/neighbourhood-planning--2#basic-conditions-for-neighbourhood-plan-to-referendum</w:t>
        </w:r>
      </w:hyperlink>
      <w:r>
        <w:t xml:space="preserve"> </w:t>
      </w:r>
    </w:p>
  </w:footnote>
  <w:footnote w:id="7">
    <w:p w14:paraId="1C5573B0" w14:textId="77777777" w:rsidR="00692140" w:rsidRDefault="00692140" w:rsidP="00692140">
      <w:pPr>
        <w:pStyle w:val="FootnoteText"/>
      </w:pPr>
      <w:r>
        <w:rPr>
          <w:rStyle w:val="FootnoteReference"/>
        </w:rPr>
        <w:footnoteRef/>
      </w:r>
      <w:r>
        <w:t xml:space="preserve"> </w:t>
      </w:r>
      <w:r w:rsidRPr="00032207">
        <w:t xml:space="preserve">The shape that the new First Homes product will take is set out in a Ministerial Statement issued in May 2021, available here: </w:t>
      </w:r>
      <w:hyperlink r:id="rId5" w:history="1">
        <w:r w:rsidRPr="00A224D0">
          <w:rPr>
            <w:rStyle w:val="Hyperlink"/>
          </w:rPr>
          <w:t>https://questions-statements.parliament.uk/written-statements/detail/2021-05-24/hlws48</w:t>
        </w:r>
      </w:hyperlink>
      <w:r>
        <w:t>.</w:t>
      </w:r>
      <w:r w:rsidRPr="00032207">
        <w:t xml:space="preserve"> The relevant update to PPG is available here: </w:t>
      </w:r>
      <w:hyperlink r:id="rId6" w:anchor="contents" w:history="1">
        <w:r w:rsidRPr="00A224D0">
          <w:rPr>
            <w:rStyle w:val="Hyperlink"/>
          </w:rPr>
          <w:t>https://www.gov.uk/guidance/first-homes#contents</w:t>
        </w:r>
      </w:hyperlink>
      <w:r w:rsidRPr="00032207">
        <w:t>.</w:t>
      </w:r>
      <w:r>
        <w:t xml:space="preserve"> </w:t>
      </w:r>
    </w:p>
  </w:footnote>
  <w:footnote w:id="8">
    <w:p w14:paraId="70658FBB" w14:textId="77777777" w:rsidR="00B67A71" w:rsidRDefault="00B67A71" w:rsidP="00032207">
      <w:pPr>
        <w:pStyle w:val="FootnoteText"/>
      </w:pPr>
      <w:r>
        <w:rPr>
          <w:rStyle w:val="FootnoteReference"/>
        </w:rPr>
        <w:footnoteRef/>
      </w:r>
      <w:r>
        <w:t xml:space="preserve"> </w:t>
      </w:r>
      <w:r w:rsidRPr="001C5D73">
        <w:t>The previous minimum equity share was 25%. This change t</w:t>
      </w:r>
      <w:r>
        <w:t>ook</w:t>
      </w:r>
      <w:r w:rsidRPr="001C5D73">
        <w:t xml:space="preserve"> effect from 28 June 2021 and transitional arrangements are in place for planning policy documents that are prepared during the implementation timeframe. Changes are also introduced to make the process of staircasing to full ownership more gradual with lower minimum increments of 1%. The ministerial statement confirming and detailing the changes is available here: </w:t>
      </w:r>
      <w:hyperlink r:id="rId7" w:history="1">
        <w:r w:rsidRPr="005F4F13">
          <w:rPr>
            <w:rStyle w:val="Hyperlink"/>
          </w:rPr>
          <w:t>https://questions-statements.parliament.uk/written-statements/detail/2021-05-24/hlws48</w:t>
        </w:r>
      </w:hyperlink>
      <w:r w:rsidRPr="001C5D73">
        <w:t>.</w:t>
      </w:r>
    </w:p>
  </w:footnote>
  <w:footnote w:id="9">
    <w:p w14:paraId="6D8AD1AE" w14:textId="77777777" w:rsidR="000F0AE1" w:rsidRPr="001F0747" w:rsidRDefault="000F0AE1" w:rsidP="000F0AE1">
      <w:pPr>
        <w:pStyle w:val="FootnoteText"/>
        <w:rPr>
          <w:sz w:val="20"/>
        </w:rPr>
      </w:pPr>
      <w:r w:rsidRPr="001F0747">
        <w:rPr>
          <w:rStyle w:val="FootnoteReference"/>
          <w:sz w:val="20"/>
        </w:rPr>
        <w:footnoteRef/>
      </w:r>
      <w:r w:rsidRPr="001F0747">
        <w:rPr>
          <w:sz w:val="20"/>
        </w:rPr>
        <w:t xml:space="preserve"> </w:t>
      </w:r>
      <w:hyperlink r:id="rId8" w:history="1">
        <w:r w:rsidRPr="001F0747">
          <w:rPr>
            <w:color w:val="0000FF"/>
            <w:sz w:val="20"/>
            <w:u w:val="single"/>
          </w:rPr>
          <w:t>National Planning Policy Framework</w:t>
        </w:r>
      </w:hyperlink>
    </w:p>
  </w:footnote>
  <w:footnote w:id="10">
    <w:p w14:paraId="2B605670" w14:textId="77777777" w:rsidR="005554FD" w:rsidRDefault="005554FD" w:rsidP="003B3C47">
      <w:pPr>
        <w:pStyle w:val="FootnoteText"/>
      </w:pPr>
      <w:r>
        <w:rPr>
          <w:rStyle w:val="FootnoteReference"/>
        </w:rPr>
        <w:footnoteRef/>
      </w:r>
      <w:r>
        <w:t xml:space="preserve"> </w:t>
      </w:r>
      <w:r w:rsidRPr="00817582">
        <w:t xml:space="preserve">Refers to households containing children who are older than 18 </w:t>
      </w:r>
      <w:proofErr w:type="spellStart"/>
      <w:r w:rsidRPr="00817582">
        <w:t>e.g</w:t>
      </w:r>
      <w:proofErr w:type="spellEnd"/>
      <w:r w:rsidRPr="00817582">
        <w:t xml:space="preserve"> students or young working people living at home</w:t>
      </w:r>
      <w:r>
        <w:t>.</w:t>
      </w:r>
    </w:p>
  </w:footnote>
  <w:footnote w:id="11">
    <w:p w14:paraId="29E0DDAE" w14:textId="77777777" w:rsidR="003B3C47" w:rsidRDefault="003B3C47" w:rsidP="003B3C47">
      <w:pPr>
        <w:pStyle w:val="FootnoteText"/>
      </w:pPr>
      <w:r>
        <w:rPr>
          <w:rStyle w:val="FootnoteReference"/>
          <w:rFonts w:eastAsiaTheme="majorEastAsia"/>
          <w:szCs w:val="16"/>
        </w:rPr>
        <w:footnoteRef/>
      </w:r>
      <w:r>
        <w:t xml:space="preserve"> See Paragraph: 017 Reference ID: 2a-017-20190220, at https://www.gov.uk/guidance/housing-and-economic-development-needs-assessments)</w:t>
      </w:r>
    </w:p>
  </w:footnote>
  <w:footnote w:id="12">
    <w:p w14:paraId="32A531A1" w14:textId="77777777" w:rsidR="003B3C47" w:rsidRDefault="003B3C47" w:rsidP="003B3C47">
      <w:pPr>
        <w:pStyle w:val="FootnoteText"/>
      </w:pPr>
      <w:r>
        <w:rPr>
          <w:rStyle w:val="FootnoteReference"/>
          <w:rFonts w:eastAsiaTheme="majorEastAsia"/>
        </w:rPr>
        <w:footnoteRef/>
      </w:r>
      <w:r>
        <w:t xml:space="preserve"> </w:t>
      </w:r>
      <w:r>
        <w:rPr>
          <w:lang w:val="en-US"/>
        </w:rPr>
        <w:t xml:space="preserve">For a full description of Planning Use Classes, please refer to </w:t>
      </w:r>
      <w:hyperlink r:id="rId9" w:history="1">
        <w:r>
          <w:rPr>
            <w:rStyle w:val="Hyperlink"/>
            <w:rFonts w:eastAsiaTheme="majorEastAsia"/>
            <w:color w:val="auto"/>
            <w:szCs w:val="16"/>
            <w:lang w:val="en-US"/>
          </w:rPr>
          <w:t>https://www.planningportal.co.uk/info/200130/common_projects/9/change_of_use</w:t>
        </w:r>
      </w:hyperlink>
      <w:r>
        <w:rPr>
          <w:lang w:val="en-US"/>
        </w:rPr>
        <w:t xml:space="preserve"> </w:t>
      </w:r>
    </w:p>
  </w:footnote>
  <w:footnote w:id="13">
    <w:p w14:paraId="066DCA07" w14:textId="77777777" w:rsidR="003B3C47" w:rsidRDefault="003B3C47" w:rsidP="003B3C47">
      <w:pPr>
        <w:pStyle w:val="FootnoteText"/>
      </w:pPr>
      <w:r w:rsidRPr="00F56E61">
        <w:rPr>
          <w:rStyle w:val="FootnoteReference"/>
          <w:szCs w:val="16"/>
        </w:rPr>
        <w:footnoteRef/>
      </w:r>
      <w:r w:rsidRPr="00F56E61">
        <w:rPr>
          <w:szCs w:val="16"/>
        </w:rPr>
        <w:t xml:space="preserve"> </w:t>
      </w:r>
      <w:r>
        <w:rPr>
          <w:szCs w:val="16"/>
        </w:rPr>
        <w:t xml:space="preserve">See </w:t>
      </w:r>
      <w:hyperlink r:id="rId10" w:history="1">
        <w:r w:rsidRPr="00645544">
          <w:rPr>
            <w:rStyle w:val="Hyperlink"/>
            <w:szCs w:val="16"/>
          </w:rPr>
          <w:t>http://www.housingcare.org/jargon-sheltered-housing.aspx</w:t>
        </w:r>
      </w:hyperlink>
      <w:r>
        <w:rPr>
          <w:szCs w:val="16"/>
        </w:rPr>
        <w:t xml:space="preserve"> </w:t>
      </w:r>
    </w:p>
  </w:footnote>
  <w:footnote w:id="14">
    <w:p w14:paraId="3CEC2E88" w14:textId="7776C789" w:rsidR="003B3C47" w:rsidRDefault="003B3C47" w:rsidP="003B3C47">
      <w:pPr>
        <w:pStyle w:val="FootnoteText"/>
      </w:pPr>
      <w:r>
        <w:rPr>
          <w:rStyle w:val="FootnoteReference"/>
        </w:rPr>
        <w:footnoteRef/>
      </w:r>
      <w:r>
        <w:t xml:space="preserve"> Table 22, ‘More Choice Greater Voice’ (2008), published by Housing LIN for CLG (now </w:t>
      </w:r>
      <w:r w:rsidR="00A52AF1">
        <w:t>MHCLG</w:t>
      </w:r>
      <w:r>
        <w:t>) and the Care Services Improvement Partnership</w:t>
      </w:r>
    </w:p>
  </w:footnote>
  <w:footnote w:id="15">
    <w:p w14:paraId="4BC1F5E4" w14:textId="792DD268" w:rsidR="003B3C47" w:rsidRDefault="003B3C47" w:rsidP="003B3C47">
      <w:pPr>
        <w:pStyle w:val="FootnoteText"/>
      </w:pPr>
      <w:r>
        <w:rPr>
          <w:rStyle w:val="FootnoteReference"/>
        </w:rPr>
        <w:footnoteRef/>
      </w:r>
      <w:r>
        <w:t xml:space="preserve"> </w:t>
      </w:r>
      <w:r w:rsidR="00D175EA">
        <w:t>3,543</w:t>
      </w:r>
      <w:r>
        <w:t xml:space="preserve"> over 75s in 2021, of which </w:t>
      </w:r>
      <w:r w:rsidR="00C27880">
        <w:t>317</w:t>
      </w:r>
      <w:r>
        <w:t xml:space="preserve"> are accommodated in specialist housing and a further </w:t>
      </w:r>
      <w:r w:rsidR="00C27880">
        <w:t>239</w:t>
      </w:r>
      <w:r>
        <w:t xml:space="preserve"> in care homes, leaving </w:t>
      </w:r>
      <w:r w:rsidR="00C27880">
        <w:t>2,987</w:t>
      </w:r>
      <w:r>
        <w:t xml:space="preserve"> people living in mainstream housing. This is approximate since some people in specialist housing and care homes will be under the age of 75.</w:t>
      </w:r>
    </w:p>
  </w:footnote>
  <w:footnote w:id="16">
    <w:p w14:paraId="6B03078A" w14:textId="77777777" w:rsidR="003B3C47" w:rsidRDefault="003B3C47" w:rsidP="003B3C47">
      <w:pPr>
        <w:pStyle w:val="FootnoteText"/>
      </w:pPr>
      <w:r>
        <w:rPr>
          <w:rStyle w:val="FootnoteReference"/>
        </w:rPr>
        <w:footnoteRef/>
      </w:r>
      <w:r>
        <w:t xml:space="preserve"> See </w:t>
      </w:r>
      <w:hyperlink r:id="rId11" w:history="1">
        <w:r>
          <w:rPr>
            <w:rStyle w:val="Hyperlink"/>
          </w:rPr>
          <w:t>Raising accessibility standards for new homes: summary of consultation responses and government response - GOV.UK (www.gov.uk)</w:t>
        </w:r>
      </w:hyperlink>
    </w:p>
  </w:footnote>
  <w:footnote w:id="17">
    <w:p w14:paraId="0FA55C3A" w14:textId="77777777" w:rsidR="00201C53" w:rsidRDefault="00201C53" w:rsidP="00201C53">
      <w:pPr>
        <w:pStyle w:val="FootnoteText"/>
      </w:pPr>
      <w:r>
        <w:rPr>
          <w:rStyle w:val="FootnoteReference"/>
        </w:rPr>
        <w:footnoteRef/>
      </w:r>
      <w:r>
        <w:t xml:space="preserve"> It is estimated that in 2022, build costs for a house are between £1,750 and £3,000 per square metre - </w:t>
      </w:r>
      <w:hyperlink r:id="rId12" w:history="1">
        <w:r w:rsidRPr="0079197E">
          <w:rPr>
            <w:rStyle w:val="Hyperlink"/>
          </w:rPr>
          <w:t>https://urbanistarchitecture.co.uk/cost-to-build-a-house-uk/</w:t>
        </w:r>
      </w:hyperlink>
      <w:r>
        <w:t xml:space="preserve"> </w:t>
      </w:r>
    </w:p>
  </w:footnote>
  <w:footnote w:id="18">
    <w:p w14:paraId="21609272" w14:textId="77777777" w:rsidR="00201C53" w:rsidRDefault="00201C53" w:rsidP="00201C53">
      <w:pPr>
        <w:pStyle w:val="FootnoteText"/>
      </w:pPr>
      <w:r>
        <w:rPr>
          <w:rStyle w:val="FootnoteReference"/>
        </w:rPr>
        <w:footnoteRef/>
      </w:r>
      <w:r>
        <w:t xml:space="preserve"> </w:t>
      </w:r>
      <w:r w:rsidRPr="00CB1ABA">
        <w:t>http://www.ipsos-mori-generations.com/housing.html</w:t>
      </w:r>
    </w:p>
  </w:footnote>
  <w:footnote w:id="19">
    <w:p w14:paraId="10DEEA45" w14:textId="77777777" w:rsidR="00193122" w:rsidRDefault="00193122" w:rsidP="00201C53">
      <w:pPr>
        <w:pStyle w:val="FootnoteText"/>
      </w:pPr>
      <w:r>
        <w:rPr>
          <w:rStyle w:val="FootnoteReference"/>
        </w:rPr>
        <w:footnoteRef/>
      </w:r>
      <w:r>
        <w:t xml:space="preserve"> </w:t>
      </w:r>
      <w:r w:rsidRPr="00356600">
        <w:t>The assumption of approximately 25% preferring to rent and 75% preferring to buy is AECOM’s judgement,</w:t>
      </w:r>
      <w:r>
        <w:t xml:space="preserve"> based on national level polls which consistently reveal that most households who prefer home ownership </w:t>
      </w:r>
      <w:proofErr w:type="spellStart"/>
      <w:r>
        <w:t>eg</w:t>
      </w:r>
      <w:proofErr w:type="spellEnd"/>
      <w:r>
        <w:t xml:space="preserve"> </w:t>
      </w:r>
      <w:hyperlink r:id="rId13" w:history="1">
        <w:r w:rsidRPr="003C40C2">
          <w:rPr>
            <w:rStyle w:val="Hyperlink"/>
          </w:rPr>
          <w:t>http://www.ipsos-mori-generations.com/housing.html</w:t>
        </w:r>
      </w:hyperlink>
      <w:r>
        <w:t xml:space="preserve"> and</w:t>
      </w:r>
      <w:r w:rsidRPr="00356600">
        <w:t xml:space="preserve"> informed by our experience across numerous neighbourhood level HNAs. The assumption is </w:t>
      </w:r>
      <w:proofErr w:type="gramStart"/>
      <w:r w:rsidRPr="00356600">
        <w:t>based on the fact that</w:t>
      </w:r>
      <w:proofErr w:type="gramEnd"/>
      <w:r w:rsidRPr="00356600">
        <w:t xml:space="preserve"> some households choose to rent at certain stages in their life (e.g. when young, when needing flexibility in employment market, or when new migrants move into an area). While most households prefer the added security and independence of owning their own home, </w:t>
      </w:r>
      <w:r>
        <w:t>private renting</w:t>
      </w:r>
      <w:r w:rsidRPr="00356600">
        <w:t xml:space="preserve"> is nevertheless a tenure of choice at a </w:t>
      </w:r>
      <w:proofErr w:type="gramStart"/>
      <w:r w:rsidRPr="00356600">
        <w:t>certain points</w:t>
      </w:r>
      <w:proofErr w:type="gramEnd"/>
      <w:r w:rsidRPr="00356600">
        <w:t xml:space="preserve"> in many households' journey through the housing market. The actual percentage of preference will differ between areas, being higher in large metropolitan areas with younger households and more new migrants, but lower in other areas. 25% is used as a reasonable proxy and for consistency across HNAs and similar assumptions are used in some larger scale assessments such as LHNAs and SHMAs. If the</w:t>
      </w:r>
      <w:r>
        <w:t xml:space="preserve"> neighbourhood planning</w:t>
      </w:r>
      <w:r w:rsidRPr="00356600">
        <w:t xml:space="preserve"> group feel this is not an appropriate assumption in their particular </w:t>
      </w:r>
      <w:proofErr w:type="gramStart"/>
      <w:r w:rsidRPr="00356600">
        <w:t>locality</w:t>
      </w:r>
      <w:proofErr w:type="gramEnd"/>
      <w:r w:rsidRPr="00356600">
        <w:t xml:space="preserve"> they could use the results of a local residents survey to refine or confirm this calculation</w:t>
      </w:r>
      <w:r>
        <w:t>.</w:t>
      </w:r>
    </w:p>
  </w:footnote>
  <w:footnote w:id="20">
    <w:p w14:paraId="1DBE7913" w14:textId="77777777" w:rsidR="004E3A02" w:rsidRDefault="004E3A02" w:rsidP="004E3A02">
      <w:pPr>
        <w:pStyle w:val="FootnoteText"/>
      </w:pPr>
      <w:r>
        <w:rPr>
          <w:rStyle w:val="FootnoteReference"/>
        </w:rPr>
        <w:footnoteRef/>
      </w:r>
      <w:r>
        <w:t xml:space="preserve"> </w:t>
      </w:r>
      <w:r w:rsidRPr="00F56E61">
        <w:t xml:space="preserve">The Tenant Services Authority has issued an explanatory note on these </w:t>
      </w:r>
      <w:r>
        <w:t xml:space="preserve">methods </w:t>
      </w:r>
      <w:r w:rsidRPr="00F56E61">
        <w:t xml:space="preserve">at </w:t>
      </w:r>
      <w:hyperlink r:id="rId14" w:history="1">
        <w:r w:rsidRPr="00EC5123">
          <w:rPr>
            <w:rStyle w:val="Hyperlink"/>
          </w:rPr>
          <w:t>http://www.communities.gov.uk/documents/planningandbuilding/pdf/1918430.pdf</w:t>
        </w:r>
      </w:hyperlink>
      <w:r>
        <w:t xml:space="preserve"> </w:t>
      </w:r>
    </w:p>
  </w:footnote>
  <w:footnote w:id="21">
    <w:p w14:paraId="486783C7" w14:textId="77777777" w:rsidR="00201C53" w:rsidRDefault="00201C53" w:rsidP="00201C53">
      <w:pPr>
        <w:pStyle w:val="FootnoteText"/>
      </w:pPr>
      <w:r>
        <w:rPr>
          <w:rStyle w:val="FootnoteReference"/>
        </w:rPr>
        <w:footnoteRef/>
      </w:r>
      <w:r>
        <w:t xml:space="preserve"> See </w:t>
      </w:r>
      <w:hyperlink r:id="rId15" w:history="1">
        <w:r w:rsidRPr="00645544">
          <w:rPr>
            <w:rStyle w:val="Hyperlink"/>
          </w:rPr>
          <w:t>https://www.gov.uk/government/statistics/english-housing-survey-2011-to-2012-household-report</w:t>
        </w:r>
      </w:hyperlink>
      <w:r>
        <w:t xml:space="preserve"> </w:t>
      </w:r>
    </w:p>
  </w:footnote>
  <w:footnote w:id="22">
    <w:p w14:paraId="4F9EB1F7" w14:textId="77777777" w:rsidR="00201C53" w:rsidRDefault="00201C53" w:rsidP="00201C53">
      <w:pPr>
        <w:pStyle w:val="FootnoteText"/>
      </w:pPr>
      <w:r w:rsidRPr="00F56E61">
        <w:rPr>
          <w:rStyle w:val="FootnoteReference"/>
          <w:szCs w:val="16"/>
        </w:rPr>
        <w:footnoteRef/>
      </w:r>
      <w:r>
        <w:t xml:space="preserve"> See </w:t>
      </w:r>
      <w:hyperlink r:id="rId16" w:history="1">
        <w:r w:rsidRPr="00645544">
          <w:rPr>
            <w:rStyle w:val="Hyperlink"/>
            <w:szCs w:val="16"/>
          </w:rPr>
          <w:t>http://webarchive.nationalarchives.gov.uk/20160107160832/http://www.ons.gov.uk/ons/dcp171776_350282.pdf</w:t>
        </w:r>
      </w:hyperlink>
      <w:r>
        <w:rPr>
          <w:szCs w:val="16"/>
        </w:rPr>
        <w:t xml:space="preserve"> </w:t>
      </w:r>
    </w:p>
  </w:footnote>
  <w:footnote w:id="23">
    <w:p w14:paraId="161E2CE5" w14:textId="77777777" w:rsidR="00201C53" w:rsidRDefault="00201C53" w:rsidP="00201C53">
      <w:pPr>
        <w:pStyle w:val="FootnoteText"/>
      </w:pPr>
      <w:r w:rsidRPr="00F56E61">
        <w:rPr>
          <w:rStyle w:val="FootnoteReference"/>
          <w:szCs w:val="16"/>
        </w:rPr>
        <w:footnoteRef/>
      </w:r>
      <w:r w:rsidRPr="00F56E61">
        <w:rPr>
          <w:szCs w:val="16"/>
        </w:rPr>
        <w:t xml:space="preserve"> </w:t>
      </w:r>
      <w:r>
        <w:rPr>
          <w:szCs w:val="16"/>
        </w:rPr>
        <w:t xml:space="preserve">See </w:t>
      </w:r>
      <w:hyperlink r:id="rId17" w:history="1">
        <w:r w:rsidRPr="00645544">
          <w:rPr>
            <w:rStyle w:val="Hyperlink"/>
            <w:szCs w:val="16"/>
          </w:rPr>
          <w:t>https://www.which.co.uk/news/2017/08/how-your-income-affects-your-mortgage-chances/</w:t>
        </w:r>
      </w:hyperlink>
      <w:r>
        <w:rPr>
          <w:szCs w:val="16"/>
        </w:rPr>
        <w:t xml:space="preserve"> </w:t>
      </w:r>
    </w:p>
  </w:footnote>
  <w:footnote w:id="24">
    <w:p w14:paraId="1EAD10B4" w14:textId="77777777" w:rsidR="00201C53" w:rsidRDefault="00201C53" w:rsidP="00201C53">
      <w:pPr>
        <w:pStyle w:val="FootnoteText"/>
      </w:pPr>
      <w:r w:rsidRPr="00F56E61">
        <w:rPr>
          <w:rStyle w:val="FootnoteReference"/>
          <w:szCs w:val="16"/>
        </w:rPr>
        <w:footnoteRef/>
      </w:r>
      <w:r w:rsidRPr="00F56E61">
        <w:rPr>
          <w:szCs w:val="16"/>
        </w:rPr>
        <w:t xml:space="preserve"> </w:t>
      </w:r>
      <w:r>
        <w:rPr>
          <w:szCs w:val="16"/>
        </w:rPr>
        <w:t xml:space="preserve">See </w:t>
      </w:r>
      <w:hyperlink r:id="rId18" w:history="1">
        <w:r w:rsidRPr="00645544">
          <w:rPr>
            <w:rStyle w:val="Hyperlink"/>
            <w:szCs w:val="16"/>
          </w:rPr>
          <w:t>http://www.housingcare.org/jargon-sheltered-housing.aspx</w:t>
        </w:r>
      </w:hyperlink>
      <w:r>
        <w:rPr>
          <w:szCs w:val="16"/>
        </w:rPr>
        <w:t xml:space="preserve"> </w:t>
      </w:r>
    </w:p>
  </w:footnote>
  <w:footnote w:id="25">
    <w:p w14:paraId="7066961D" w14:textId="77777777" w:rsidR="00201C53" w:rsidRDefault="00201C53" w:rsidP="00201C53">
      <w:pPr>
        <w:pStyle w:val="FootnoteText"/>
      </w:pPr>
      <w:r>
        <w:rPr>
          <w:rStyle w:val="FootnoteReference"/>
        </w:rPr>
        <w:footnoteRef/>
      </w:r>
      <w:r>
        <w:t xml:space="preserve"> See </w:t>
      </w:r>
      <w:hyperlink r:id="rId19" w:anchor="Housing" w:history="1">
        <w:r w:rsidRPr="00645544">
          <w:rPr>
            <w:rStyle w:val="Hyperlink"/>
          </w:rPr>
          <w:t>http://www.communities.gov.uk/documents/planningandbuilding/doc/1980960.doc#Housing</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6C9C3" w14:textId="462A6B9C" w:rsidR="00BE06EB" w:rsidRDefault="00D143F2" w:rsidP="00514B9E">
    <w:pPr>
      <w:pStyle w:val="Header"/>
      <w:tabs>
        <w:tab w:val="clear" w:pos="4513"/>
        <w:tab w:val="clear" w:pos="9026"/>
        <w:tab w:val="center" w:pos="9639"/>
        <w:tab w:val="left" w:pos="9781"/>
      </w:tabs>
      <w:ind w:left="-426" w:right="-330"/>
      <w:rPr>
        <w:sz w:val="16"/>
        <w:szCs w:val="16"/>
      </w:rPr>
    </w:pPr>
    <w:r w:rsidRPr="00C37913">
      <w:rPr>
        <w:sz w:val="16"/>
        <w:szCs w:val="16"/>
      </w:rPr>
      <w:t>Consett</w:t>
    </w:r>
    <w:r w:rsidR="00BE06EB" w:rsidRPr="00C37913">
      <w:rPr>
        <w:sz w:val="16"/>
        <w:szCs w:val="16"/>
      </w:rPr>
      <w:t xml:space="preserve"> Neighbourhood Plan </w:t>
    </w:r>
    <w:r w:rsidR="00BE06EB" w:rsidRPr="00C37913">
      <w:rPr>
        <w:sz w:val="16"/>
        <w:szCs w:val="16"/>
      </w:rPr>
      <w:tab/>
      <w:t>AECOM</w:t>
    </w:r>
  </w:p>
  <w:p w14:paraId="18A72073" w14:textId="77777777" w:rsidR="00BE06EB" w:rsidRPr="006C3327" w:rsidRDefault="00BE06EB" w:rsidP="00514B9E">
    <w:pPr>
      <w:pStyle w:val="Header"/>
      <w:tabs>
        <w:tab w:val="clear" w:pos="9026"/>
        <w:tab w:val="right" w:pos="9781"/>
      </w:tabs>
      <w:ind w:left="-426"/>
      <w:rPr>
        <w:sz w:val="16"/>
        <w:szCs w:val="16"/>
      </w:rPr>
    </w:pPr>
    <w:r w:rsidRPr="006C3327">
      <w:rPr>
        <w:sz w:val="16"/>
        <w:szCs w:val="16"/>
      </w:rPr>
      <w:t>Housing Needs Assessment</w:t>
    </w:r>
  </w:p>
  <w:p w14:paraId="073696D7" w14:textId="77777777" w:rsidR="00BE06EB" w:rsidRDefault="00BE06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74313" w14:textId="17043EC7" w:rsidR="00E83FD2" w:rsidRPr="009632A1" w:rsidRDefault="00D143F2" w:rsidP="002E1EF2">
    <w:pPr>
      <w:pStyle w:val="Header"/>
      <w:tabs>
        <w:tab w:val="clear" w:pos="4513"/>
        <w:tab w:val="clear" w:pos="9026"/>
      </w:tabs>
      <w:ind w:right="53"/>
      <w:rPr>
        <w:sz w:val="16"/>
        <w:szCs w:val="16"/>
      </w:rPr>
    </w:pPr>
    <w:r w:rsidRPr="009632A1">
      <w:rPr>
        <w:sz w:val="16"/>
        <w:szCs w:val="16"/>
      </w:rPr>
      <w:t>Consett</w:t>
    </w:r>
    <w:r w:rsidR="00597BD0" w:rsidRPr="009632A1">
      <w:rPr>
        <w:sz w:val="16"/>
        <w:szCs w:val="16"/>
      </w:rPr>
      <w:t xml:space="preserve"> Neighbourhood Plan </w:t>
    </w:r>
    <w:r w:rsidR="00CA225F" w:rsidRPr="009632A1">
      <w:rPr>
        <w:sz w:val="16"/>
        <w:szCs w:val="16"/>
      </w:rPr>
      <w:tab/>
    </w:r>
    <w:r w:rsidR="00CA225F" w:rsidRPr="009632A1">
      <w:rPr>
        <w:sz w:val="16"/>
        <w:szCs w:val="16"/>
      </w:rPr>
      <w:tab/>
    </w:r>
    <w:r w:rsidR="00CA225F" w:rsidRPr="009632A1">
      <w:rPr>
        <w:sz w:val="16"/>
        <w:szCs w:val="16"/>
      </w:rPr>
      <w:tab/>
    </w:r>
    <w:r w:rsidR="00CA225F" w:rsidRPr="009632A1">
      <w:rPr>
        <w:sz w:val="16"/>
        <w:szCs w:val="16"/>
      </w:rPr>
      <w:tab/>
    </w:r>
    <w:r w:rsidR="00CA225F" w:rsidRPr="009632A1">
      <w:rPr>
        <w:sz w:val="16"/>
        <w:szCs w:val="16"/>
      </w:rPr>
      <w:tab/>
    </w:r>
    <w:r w:rsidR="00CA225F" w:rsidRPr="009632A1">
      <w:rPr>
        <w:sz w:val="16"/>
        <w:szCs w:val="16"/>
      </w:rPr>
      <w:tab/>
    </w:r>
    <w:r w:rsidR="00CA225F" w:rsidRPr="009632A1">
      <w:rPr>
        <w:sz w:val="16"/>
        <w:szCs w:val="16"/>
      </w:rPr>
      <w:tab/>
    </w:r>
    <w:r w:rsidR="00CA225F" w:rsidRPr="009632A1">
      <w:rPr>
        <w:sz w:val="16"/>
        <w:szCs w:val="16"/>
      </w:rPr>
      <w:tab/>
    </w:r>
    <w:r w:rsidR="00CA225F" w:rsidRPr="009632A1">
      <w:rPr>
        <w:sz w:val="16"/>
        <w:szCs w:val="16"/>
      </w:rPr>
      <w:tab/>
      <w:t xml:space="preserve">     </w:t>
    </w:r>
    <w:r w:rsidR="002E1EF2" w:rsidRPr="009632A1">
      <w:rPr>
        <w:sz w:val="16"/>
        <w:szCs w:val="16"/>
      </w:rPr>
      <w:t xml:space="preserve">      </w:t>
    </w:r>
    <w:r w:rsidR="00CA225F" w:rsidRPr="009632A1">
      <w:rPr>
        <w:sz w:val="16"/>
        <w:szCs w:val="16"/>
      </w:rPr>
      <w:t xml:space="preserve"> </w:t>
    </w:r>
    <w:r w:rsidR="00E83FD2" w:rsidRPr="009632A1">
      <w:rPr>
        <w:sz w:val="16"/>
        <w:szCs w:val="16"/>
      </w:rPr>
      <w:t>AECOM</w:t>
    </w:r>
  </w:p>
  <w:p w14:paraId="555C3E05" w14:textId="3C161743" w:rsidR="00597BD0" w:rsidRPr="006C3327" w:rsidRDefault="00597BD0" w:rsidP="002E1EF2">
    <w:pPr>
      <w:pStyle w:val="Header"/>
      <w:tabs>
        <w:tab w:val="clear" w:pos="9026"/>
        <w:tab w:val="left" w:pos="9072"/>
        <w:tab w:val="right" w:pos="9356"/>
        <w:tab w:val="left" w:pos="9491"/>
      </w:tabs>
      <w:ind w:right="336"/>
      <w:rPr>
        <w:sz w:val="16"/>
        <w:szCs w:val="16"/>
      </w:rPr>
    </w:pPr>
    <w:r w:rsidRPr="009632A1">
      <w:rPr>
        <w:sz w:val="16"/>
        <w:szCs w:val="16"/>
      </w:rPr>
      <w:t>Housing Needs Assessment</w:t>
    </w:r>
  </w:p>
  <w:p w14:paraId="57CD626A" w14:textId="77777777" w:rsidR="00B67A71" w:rsidRDefault="00B67A71" w:rsidP="00083B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F9772" w14:textId="41A01D47" w:rsidR="00B67A71" w:rsidRPr="006C3327" w:rsidRDefault="00D143F2">
    <w:pPr>
      <w:pStyle w:val="Header"/>
      <w:rPr>
        <w:sz w:val="16"/>
        <w:szCs w:val="20"/>
      </w:rPr>
    </w:pPr>
    <w:r>
      <w:rPr>
        <w:sz w:val="16"/>
        <w:szCs w:val="20"/>
        <w:highlight w:val="green"/>
      </w:rPr>
      <w:t>Consett</w:t>
    </w:r>
    <w:r w:rsidR="00B67A71" w:rsidRPr="006C3327">
      <w:rPr>
        <w:sz w:val="16"/>
        <w:szCs w:val="20"/>
      </w:rPr>
      <w:t xml:space="preserve"> Neighbourhood Plan Housing Needs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B7A6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EAF11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81A102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ADEFE7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8"/>
    <w:multiLevelType w:val="singleLevel"/>
    <w:tmpl w:val="F0A6A1E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F3EFBE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8AB481A"/>
    <w:multiLevelType w:val="multilevel"/>
    <w:tmpl w:val="22544628"/>
    <w:styleLink w:val="AECOMNumbering"/>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15:restartNumberingAfterBreak="0">
    <w:nsid w:val="09EE17F8"/>
    <w:multiLevelType w:val="multilevel"/>
    <w:tmpl w:val="85BE3B20"/>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851"/>
        </w:tabs>
        <w:ind w:left="850" w:hanging="425"/>
      </w:pPr>
      <w:rPr>
        <w:rFonts w:ascii="Calibri" w:hAnsi="Calibri" w:hint="default"/>
        <w:color w:val="auto"/>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8" w15:restartNumberingAfterBreak="0">
    <w:nsid w:val="0E406F3E"/>
    <w:multiLevelType w:val="multilevel"/>
    <w:tmpl w:val="1F30E436"/>
    <w:styleLink w:val="AECOMSectionnumbering"/>
    <w:lvl w:ilvl="0">
      <w:start w:val="1"/>
      <w:numFmt w:val="decimalZero"/>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92A26E9"/>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F460129"/>
    <w:multiLevelType w:val="hybridMultilevel"/>
    <w:tmpl w:val="E00253D8"/>
    <w:lvl w:ilvl="0" w:tplc="41D05D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8325A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760E67"/>
    <w:multiLevelType w:val="multilevel"/>
    <w:tmpl w:val="56821B64"/>
    <w:lvl w:ilvl="0">
      <w:start w:val="1"/>
      <w:numFmt w:val="bullet"/>
      <w:lvlText w:val=""/>
      <w:lvlJc w:val="left"/>
      <w:pPr>
        <w:ind w:left="425" w:hanging="425"/>
      </w:pPr>
      <w:rPr>
        <w:rFonts w:ascii="Symbol" w:hAnsi="Symbol" w:hint="default"/>
        <w:b w:val="0"/>
        <w:bCs w:val="0"/>
        <w:i w:val="0"/>
        <w:iCs w:val="0"/>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14" w15:restartNumberingAfterBreak="0">
    <w:nsid w:val="2800448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A0118C5"/>
    <w:multiLevelType w:val="multilevel"/>
    <w:tmpl w:val="DC22BBC8"/>
    <w:styleLink w:val="AECOM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o"/>
      <w:lvlJc w:val="left"/>
      <w:pPr>
        <w:ind w:left="2556" w:hanging="284"/>
      </w:pPr>
      <w:rPr>
        <w:rFonts w:ascii="Courier New" w:hAnsi="Courier New" w:hint="default"/>
      </w:rPr>
    </w:lvl>
  </w:abstractNum>
  <w:abstractNum w:abstractNumId="16" w15:restartNumberingAfterBreak="0">
    <w:nsid w:val="2B2C79B9"/>
    <w:multiLevelType w:val="multilevel"/>
    <w:tmpl w:val="2020E9D2"/>
    <w:lvl w:ilvl="0">
      <w:start w:val="1"/>
      <w:numFmt w:val="upperLetter"/>
      <w:lvlText w:val="%1."/>
      <w:lvlJc w:val="left"/>
      <w:pPr>
        <w:ind w:left="1210" w:hanging="360"/>
      </w:pPr>
    </w:lvl>
    <w:lvl w:ilvl="1">
      <w:start w:val="1"/>
      <w:numFmt w:val="lowerLetter"/>
      <w:lvlText w:val="%2)"/>
      <w:lvlJc w:val="left"/>
      <w:pPr>
        <w:ind w:left="1570" w:hanging="360"/>
      </w:pPr>
    </w:lvl>
    <w:lvl w:ilvl="2">
      <w:start w:val="1"/>
      <w:numFmt w:val="lowerRoman"/>
      <w:lvlText w:val="%3)"/>
      <w:lvlJc w:val="left"/>
      <w:pPr>
        <w:ind w:left="1930" w:hanging="360"/>
      </w:pPr>
    </w:lvl>
    <w:lvl w:ilvl="3">
      <w:start w:val="1"/>
      <w:numFmt w:val="decimal"/>
      <w:lvlText w:val="(%4)"/>
      <w:lvlJc w:val="left"/>
      <w:pPr>
        <w:ind w:left="2290" w:hanging="360"/>
      </w:pPr>
    </w:lvl>
    <w:lvl w:ilvl="4">
      <w:start w:val="1"/>
      <w:numFmt w:val="lowerLetter"/>
      <w:lvlText w:val="(%5)"/>
      <w:lvlJc w:val="left"/>
      <w:pPr>
        <w:ind w:left="2650" w:hanging="360"/>
      </w:pPr>
    </w:lvl>
    <w:lvl w:ilvl="5">
      <w:start w:val="1"/>
      <w:numFmt w:val="lowerRoman"/>
      <w:lvlText w:val="(%6)"/>
      <w:lvlJc w:val="left"/>
      <w:pPr>
        <w:ind w:left="3010" w:hanging="360"/>
      </w:pPr>
    </w:lvl>
    <w:lvl w:ilvl="6">
      <w:start w:val="1"/>
      <w:numFmt w:val="decimal"/>
      <w:lvlText w:val="%7."/>
      <w:lvlJc w:val="left"/>
      <w:pPr>
        <w:ind w:left="3370" w:hanging="360"/>
      </w:pPr>
    </w:lvl>
    <w:lvl w:ilvl="7">
      <w:start w:val="1"/>
      <w:numFmt w:val="lowerLetter"/>
      <w:lvlText w:val="%8."/>
      <w:lvlJc w:val="left"/>
      <w:pPr>
        <w:ind w:left="3730" w:hanging="360"/>
      </w:pPr>
    </w:lvl>
    <w:lvl w:ilvl="8">
      <w:start w:val="1"/>
      <w:numFmt w:val="lowerRoman"/>
      <w:lvlText w:val="%9."/>
      <w:lvlJc w:val="left"/>
      <w:pPr>
        <w:ind w:left="4090" w:hanging="360"/>
      </w:pPr>
    </w:lvl>
  </w:abstractNum>
  <w:abstractNum w:abstractNumId="17" w15:restartNumberingAfterBreak="0">
    <w:nsid w:val="31E137B0"/>
    <w:multiLevelType w:val="hybridMultilevel"/>
    <w:tmpl w:val="12C686F0"/>
    <w:lvl w:ilvl="0" w:tplc="08090001">
      <w:start w:val="1"/>
      <w:numFmt w:val="bullet"/>
      <w:lvlText w:val=""/>
      <w:lvlJc w:val="left"/>
      <w:pPr>
        <w:ind w:left="1531" w:hanging="360"/>
      </w:pPr>
      <w:rPr>
        <w:rFonts w:ascii="Symbol" w:hAnsi="Symbol" w:hint="default"/>
      </w:rPr>
    </w:lvl>
    <w:lvl w:ilvl="1" w:tplc="08090003" w:tentative="1">
      <w:start w:val="1"/>
      <w:numFmt w:val="bullet"/>
      <w:lvlText w:val="o"/>
      <w:lvlJc w:val="left"/>
      <w:pPr>
        <w:ind w:left="2251" w:hanging="360"/>
      </w:pPr>
      <w:rPr>
        <w:rFonts w:ascii="Courier New" w:hAnsi="Courier New" w:cs="Courier New" w:hint="default"/>
      </w:rPr>
    </w:lvl>
    <w:lvl w:ilvl="2" w:tplc="08090005" w:tentative="1">
      <w:start w:val="1"/>
      <w:numFmt w:val="bullet"/>
      <w:lvlText w:val=""/>
      <w:lvlJc w:val="left"/>
      <w:pPr>
        <w:ind w:left="2971" w:hanging="360"/>
      </w:pPr>
      <w:rPr>
        <w:rFonts w:ascii="Wingdings" w:hAnsi="Wingdings" w:hint="default"/>
      </w:rPr>
    </w:lvl>
    <w:lvl w:ilvl="3" w:tplc="08090001" w:tentative="1">
      <w:start w:val="1"/>
      <w:numFmt w:val="bullet"/>
      <w:lvlText w:val=""/>
      <w:lvlJc w:val="left"/>
      <w:pPr>
        <w:ind w:left="3691" w:hanging="360"/>
      </w:pPr>
      <w:rPr>
        <w:rFonts w:ascii="Symbol" w:hAnsi="Symbol" w:hint="default"/>
      </w:rPr>
    </w:lvl>
    <w:lvl w:ilvl="4" w:tplc="08090003" w:tentative="1">
      <w:start w:val="1"/>
      <w:numFmt w:val="bullet"/>
      <w:lvlText w:val="o"/>
      <w:lvlJc w:val="left"/>
      <w:pPr>
        <w:ind w:left="4411" w:hanging="360"/>
      </w:pPr>
      <w:rPr>
        <w:rFonts w:ascii="Courier New" w:hAnsi="Courier New" w:cs="Courier New" w:hint="default"/>
      </w:rPr>
    </w:lvl>
    <w:lvl w:ilvl="5" w:tplc="08090005" w:tentative="1">
      <w:start w:val="1"/>
      <w:numFmt w:val="bullet"/>
      <w:lvlText w:val=""/>
      <w:lvlJc w:val="left"/>
      <w:pPr>
        <w:ind w:left="5131" w:hanging="360"/>
      </w:pPr>
      <w:rPr>
        <w:rFonts w:ascii="Wingdings" w:hAnsi="Wingdings" w:hint="default"/>
      </w:rPr>
    </w:lvl>
    <w:lvl w:ilvl="6" w:tplc="08090001" w:tentative="1">
      <w:start w:val="1"/>
      <w:numFmt w:val="bullet"/>
      <w:lvlText w:val=""/>
      <w:lvlJc w:val="left"/>
      <w:pPr>
        <w:ind w:left="5851" w:hanging="360"/>
      </w:pPr>
      <w:rPr>
        <w:rFonts w:ascii="Symbol" w:hAnsi="Symbol" w:hint="default"/>
      </w:rPr>
    </w:lvl>
    <w:lvl w:ilvl="7" w:tplc="08090003" w:tentative="1">
      <w:start w:val="1"/>
      <w:numFmt w:val="bullet"/>
      <w:lvlText w:val="o"/>
      <w:lvlJc w:val="left"/>
      <w:pPr>
        <w:ind w:left="6571" w:hanging="360"/>
      </w:pPr>
      <w:rPr>
        <w:rFonts w:ascii="Courier New" w:hAnsi="Courier New" w:cs="Courier New" w:hint="default"/>
      </w:rPr>
    </w:lvl>
    <w:lvl w:ilvl="8" w:tplc="08090005" w:tentative="1">
      <w:start w:val="1"/>
      <w:numFmt w:val="bullet"/>
      <w:lvlText w:val=""/>
      <w:lvlJc w:val="left"/>
      <w:pPr>
        <w:ind w:left="7291" w:hanging="360"/>
      </w:pPr>
      <w:rPr>
        <w:rFonts w:ascii="Wingdings" w:hAnsi="Wingdings" w:hint="default"/>
      </w:rPr>
    </w:lvl>
  </w:abstractNum>
  <w:abstractNum w:abstractNumId="18" w15:restartNumberingAfterBreak="0">
    <w:nsid w:val="345C6B3C"/>
    <w:multiLevelType w:val="hybridMultilevel"/>
    <w:tmpl w:val="346A1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54570F"/>
    <w:multiLevelType w:val="multilevel"/>
    <w:tmpl w:val="532AF9F2"/>
    <w:name w:val="AECOM Outline numbering3"/>
    <w:lvl w:ilvl="0">
      <w:start w:val="1"/>
      <w:numFmt w:val="upperLetter"/>
      <w:lvlRestart w:val="0"/>
      <w:pStyle w:val="Appendix"/>
      <w:suff w:val="space"/>
      <w:lvlText w:val="Appendix %1"/>
      <w:lvlJc w:val="left"/>
      <w:pPr>
        <w:ind w:left="0" w:firstLine="0"/>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20" w15:restartNumberingAfterBreak="0">
    <w:nsid w:val="3A383484"/>
    <w:multiLevelType w:val="multilevel"/>
    <w:tmpl w:val="60B68AA8"/>
    <w:styleLink w:val="AECOMTableNumbering"/>
    <w:lvl w:ilvl="0">
      <w:start w:val="1"/>
      <w:numFmt w:val="decimal"/>
      <w:pStyle w:val="TableListNumber"/>
      <w:lvlText w:val="%1."/>
      <w:lvlJc w:val="left"/>
      <w:pPr>
        <w:ind w:left="284" w:hanging="284"/>
      </w:pPr>
      <w:rPr>
        <w:rFonts w:hint="default"/>
      </w:rPr>
    </w:lvl>
    <w:lvl w:ilvl="1">
      <w:start w:val="1"/>
      <w:numFmt w:val="lowerLetter"/>
      <w:pStyle w:val="TableListNumber2"/>
      <w:lvlText w:val="%2."/>
      <w:lvlJc w:val="left"/>
      <w:pPr>
        <w:ind w:left="568" w:hanging="284"/>
      </w:pPr>
      <w:rPr>
        <w:rFonts w:hint="default"/>
      </w:rPr>
    </w:lvl>
    <w:lvl w:ilvl="2">
      <w:start w:val="1"/>
      <w:numFmt w:val="lowerRoman"/>
      <w:pStyle w:val="Table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3D0B031A"/>
    <w:multiLevelType w:val="multilevel"/>
    <w:tmpl w:val="EA7C4826"/>
    <w:lvl w:ilvl="0">
      <w:start w:val="14"/>
      <w:numFmt w:val="bullet"/>
      <w:lvlText w:val="-"/>
      <w:lvlJc w:val="left"/>
      <w:pPr>
        <w:tabs>
          <w:tab w:val="num" w:pos="425"/>
        </w:tabs>
        <w:ind w:left="425" w:hanging="425"/>
      </w:pPr>
      <w:rPr>
        <w:rFonts w:ascii="Calibri" w:eastAsiaTheme="minorHAnsi" w:hAnsi="Calibri" w:cs="Calibri" w:hint="default"/>
        <w:color w:val="auto"/>
      </w:rPr>
    </w:lvl>
    <w:lvl w:ilvl="1">
      <w:start w:val="1"/>
      <w:numFmt w:val="bullet"/>
      <w:lvlText w:val="─"/>
      <w:lvlJc w:val="left"/>
      <w:pPr>
        <w:tabs>
          <w:tab w:val="num" w:pos="851"/>
        </w:tabs>
        <w:ind w:left="850" w:hanging="425"/>
      </w:pPr>
      <w:rPr>
        <w:rFonts w:ascii="Calibri" w:hAnsi="Calibri" w:hint="default"/>
        <w:color w:val="auto"/>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22" w15:restartNumberingAfterBreak="0">
    <w:nsid w:val="3F235C20"/>
    <w:multiLevelType w:val="multilevel"/>
    <w:tmpl w:val="03868C5E"/>
    <w:lvl w:ilvl="0">
      <w:start w:val="14"/>
      <w:numFmt w:val="bullet"/>
      <w:lvlText w:val="-"/>
      <w:lvlJc w:val="left"/>
      <w:pPr>
        <w:tabs>
          <w:tab w:val="num" w:pos="425"/>
        </w:tabs>
        <w:ind w:left="425" w:hanging="425"/>
      </w:pPr>
      <w:rPr>
        <w:rFonts w:ascii="Calibri" w:eastAsiaTheme="minorHAnsi" w:hAnsi="Calibri" w:cs="Calibri" w:hint="default"/>
        <w:color w:val="auto"/>
      </w:rPr>
    </w:lvl>
    <w:lvl w:ilvl="1">
      <w:start w:val="1"/>
      <w:numFmt w:val="bullet"/>
      <w:lvlText w:val="─"/>
      <w:lvlJc w:val="left"/>
      <w:pPr>
        <w:tabs>
          <w:tab w:val="num" w:pos="851"/>
        </w:tabs>
        <w:ind w:left="850" w:hanging="425"/>
      </w:pPr>
      <w:rPr>
        <w:rFonts w:ascii="Calibri" w:hAnsi="Calibri" w:hint="default"/>
        <w:color w:val="auto"/>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23" w15:restartNumberingAfterBreak="0">
    <w:nsid w:val="44CC7D30"/>
    <w:multiLevelType w:val="multilevel"/>
    <w:tmpl w:val="CA0E043E"/>
    <w:lvl w:ilvl="0">
      <w:start w:val="1"/>
      <w:numFmt w:val="bullet"/>
      <w:lvlText w:val=""/>
      <w:lvlJc w:val="left"/>
      <w:pPr>
        <w:ind w:left="425" w:hanging="425"/>
      </w:pPr>
      <w:rPr>
        <w:rFonts w:ascii="Symbol" w:hAnsi="Symbol" w:hint="default"/>
        <w:b w:val="0"/>
        <w:bCs w:val="0"/>
        <w:i w:val="0"/>
        <w:iCs w:val="0"/>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24"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25" w15:restartNumberingAfterBreak="0">
    <w:nsid w:val="46904B5A"/>
    <w:multiLevelType w:val="hybridMultilevel"/>
    <w:tmpl w:val="7902D1DE"/>
    <w:lvl w:ilvl="0" w:tplc="13388E30">
      <w:start w:val="137"/>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6" w15:restartNumberingAfterBreak="0">
    <w:nsid w:val="46EC011C"/>
    <w:multiLevelType w:val="multilevel"/>
    <w:tmpl w:val="65C6DDF6"/>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851"/>
        </w:tabs>
        <w:ind w:left="850" w:hanging="425"/>
      </w:pPr>
      <w:rPr>
        <w:rFonts w:ascii="Symbol" w:hAnsi="Symbol" w:hint="default"/>
        <w:color w:val="auto"/>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27" w15:restartNumberingAfterBreak="0">
    <w:nsid w:val="4C2D2806"/>
    <w:multiLevelType w:val="hybridMultilevel"/>
    <w:tmpl w:val="73A062D6"/>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8" w15:restartNumberingAfterBreak="0">
    <w:nsid w:val="4C6206E9"/>
    <w:multiLevelType w:val="hybridMultilevel"/>
    <w:tmpl w:val="C272008E"/>
    <w:lvl w:ilvl="0" w:tplc="C32ABC84">
      <w:start w:val="5"/>
      <w:numFmt w:val="bullet"/>
      <w:lvlText w:val="-"/>
      <w:lvlJc w:val="left"/>
      <w:pPr>
        <w:ind w:left="1636" w:hanging="360"/>
      </w:pPr>
      <w:rPr>
        <w:rFonts w:ascii="Arial" w:eastAsiaTheme="minorHAnsi" w:hAnsi="Arial" w:cs="Aria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9" w15:restartNumberingAfterBreak="0">
    <w:nsid w:val="4D0C013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E1549B9"/>
    <w:multiLevelType w:val="multilevel"/>
    <w:tmpl w:val="96F25CE0"/>
    <w:lvl w:ilvl="0">
      <w:start w:val="1"/>
      <w:numFmt w:val="upperLetter"/>
      <w:suff w:val="space"/>
      <w:lvlText w:val="Appendix %1"/>
      <w:lvlJc w:val="left"/>
      <w:pPr>
        <w:ind w:left="0" w:firstLine="0"/>
      </w:pPr>
      <w:rPr>
        <w:rFonts w:hint="default"/>
      </w:rPr>
    </w:lvl>
    <w:lvl w:ilvl="1">
      <w:start w:val="1"/>
      <w:numFmt w:val="decimal"/>
      <w:pStyle w:val="AppendixText"/>
      <w:lvlText w:val="%1.%2"/>
      <w:lvlJc w:val="left"/>
      <w:pPr>
        <w:ind w:left="862"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32" w15:restartNumberingAfterBreak="0">
    <w:nsid w:val="51880F48"/>
    <w:multiLevelType w:val="multilevel"/>
    <w:tmpl w:val="5B6227C6"/>
    <w:styleLink w:val="AECO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tabs>
          <w:tab w:val="num" w:pos="1431"/>
        </w:tabs>
        <w:ind w:left="1428" w:hanging="357"/>
      </w:pPr>
      <w:rPr>
        <w:rFonts w:hint="default"/>
      </w:rPr>
    </w:lvl>
    <w:lvl w:ilvl="4">
      <w:start w:val="1"/>
      <w:numFmt w:val="lowerLetter"/>
      <w:lvlText w:val="%5."/>
      <w:lvlJc w:val="left"/>
      <w:pPr>
        <w:tabs>
          <w:tab w:val="num" w:pos="1788"/>
        </w:tabs>
        <w:ind w:left="1785" w:hanging="357"/>
      </w:pPr>
      <w:rPr>
        <w:rFonts w:hint="default"/>
      </w:rPr>
    </w:lvl>
    <w:lvl w:ilvl="5">
      <w:start w:val="1"/>
      <w:numFmt w:val="lowerRoman"/>
      <w:lvlText w:val="%6."/>
      <w:lvlJc w:val="right"/>
      <w:pPr>
        <w:tabs>
          <w:tab w:val="num" w:pos="2145"/>
        </w:tabs>
        <w:ind w:left="2142" w:hanging="357"/>
      </w:pPr>
      <w:rPr>
        <w:rFonts w:hint="default"/>
      </w:rPr>
    </w:lvl>
    <w:lvl w:ilvl="6">
      <w:start w:val="1"/>
      <w:numFmt w:val="decimal"/>
      <w:lvlText w:val="%7."/>
      <w:lvlJc w:val="left"/>
      <w:pPr>
        <w:tabs>
          <w:tab w:val="num" w:pos="2502"/>
        </w:tabs>
        <w:ind w:left="2499" w:hanging="357"/>
      </w:pPr>
      <w:rPr>
        <w:rFonts w:hint="default"/>
      </w:rPr>
    </w:lvl>
    <w:lvl w:ilvl="7">
      <w:start w:val="1"/>
      <w:numFmt w:val="lowerLetter"/>
      <w:lvlText w:val="%8."/>
      <w:lvlJc w:val="left"/>
      <w:pPr>
        <w:tabs>
          <w:tab w:val="num" w:pos="2859"/>
        </w:tabs>
        <w:ind w:left="2856" w:hanging="357"/>
      </w:pPr>
      <w:rPr>
        <w:rFonts w:hint="default"/>
      </w:rPr>
    </w:lvl>
    <w:lvl w:ilvl="8">
      <w:start w:val="1"/>
      <w:numFmt w:val="lowerRoman"/>
      <w:lvlText w:val="%9."/>
      <w:lvlJc w:val="right"/>
      <w:pPr>
        <w:tabs>
          <w:tab w:val="num" w:pos="3216"/>
        </w:tabs>
        <w:ind w:left="3213" w:hanging="357"/>
      </w:pPr>
      <w:rPr>
        <w:rFonts w:hint="default"/>
      </w:rPr>
    </w:lvl>
  </w:abstractNum>
  <w:abstractNum w:abstractNumId="33" w15:restartNumberingAfterBreak="0">
    <w:nsid w:val="518A684E"/>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571285C"/>
    <w:multiLevelType w:val="multilevel"/>
    <w:tmpl w:val="F7783B12"/>
    <w:name w:val="AECOM Outline numbering2"/>
    <w:lvl w:ilvl="0">
      <w:start w:val="1"/>
      <w:numFmt w:val="decimal"/>
      <w:lvlRestart w:val="0"/>
      <w:lvlText w:val="%1."/>
      <w:lvlJc w:val="left"/>
      <w:pPr>
        <w:ind w:left="567" w:hanging="567"/>
      </w:pPr>
      <w:rPr>
        <w:rFonts w:hint="default"/>
      </w:rPr>
    </w:lvl>
    <w:lvl w:ilvl="1">
      <w:start w:val="1"/>
      <w:numFmt w:val="decimal"/>
      <w:lvlText w:val="%1.%2"/>
      <w:lvlJc w:val="left"/>
      <w:pPr>
        <w:ind w:left="567" w:hanging="567"/>
      </w:pPr>
      <w:rPr>
        <w:rFonts w:hint="default"/>
        <w:b w:val="0"/>
        <w:bCs/>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35" w15:restartNumberingAfterBreak="0">
    <w:nsid w:val="5A554385"/>
    <w:multiLevelType w:val="multilevel"/>
    <w:tmpl w:val="C256E1BC"/>
    <w:lvl w:ilvl="0">
      <w:start w:val="14"/>
      <w:numFmt w:val="bullet"/>
      <w:lvlText w:val="-"/>
      <w:lvlJc w:val="left"/>
      <w:pPr>
        <w:tabs>
          <w:tab w:val="num" w:pos="425"/>
        </w:tabs>
        <w:ind w:left="425" w:hanging="425"/>
      </w:pPr>
      <w:rPr>
        <w:rFonts w:ascii="Calibri" w:eastAsiaTheme="minorHAnsi" w:hAnsi="Calibri" w:cs="Calibri" w:hint="default"/>
        <w:color w:val="auto"/>
      </w:rPr>
    </w:lvl>
    <w:lvl w:ilvl="1">
      <w:start w:val="1"/>
      <w:numFmt w:val="bullet"/>
      <w:lvlText w:val="─"/>
      <w:lvlJc w:val="left"/>
      <w:pPr>
        <w:tabs>
          <w:tab w:val="num" w:pos="851"/>
        </w:tabs>
        <w:ind w:left="850" w:hanging="425"/>
      </w:pPr>
      <w:rPr>
        <w:rFonts w:ascii="Calibri" w:hAnsi="Calibri" w:hint="default"/>
        <w:color w:val="auto"/>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36" w15:restartNumberingAfterBreak="0">
    <w:nsid w:val="62E37949"/>
    <w:multiLevelType w:val="hybridMultilevel"/>
    <w:tmpl w:val="67721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B3731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59A027C"/>
    <w:multiLevelType w:val="multilevel"/>
    <w:tmpl w:val="EE70E51A"/>
    <w:lvl w:ilvl="0">
      <w:start w:val="1"/>
      <w:numFmt w:val="decimal"/>
      <w:pStyle w:val="ListNumber"/>
      <w:lvlText w:val="%1."/>
      <w:lvlJc w:val="left"/>
      <w:pPr>
        <w:ind w:left="425" w:hanging="425"/>
      </w:pPr>
      <w:rPr>
        <w:rFonts w:hint="default"/>
        <w:b w:val="0"/>
        <w:bCs w:val="0"/>
        <w:i w:val="0"/>
        <w:iCs w:val="0"/>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righ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right"/>
      <w:pPr>
        <w:tabs>
          <w:tab w:val="num" w:pos="3825"/>
        </w:tabs>
        <w:ind w:left="3825" w:hanging="425"/>
      </w:pPr>
      <w:rPr>
        <w:rFonts w:hint="default"/>
      </w:rPr>
    </w:lvl>
  </w:abstractNum>
  <w:abstractNum w:abstractNumId="39" w15:restartNumberingAfterBreak="0">
    <w:nsid w:val="68FF5876"/>
    <w:multiLevelType w:val="hybridMultilevel"/>
    <w:tmpl w:val="59FA43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EFE498B"/>
    <w:multiLevelType w:val="multilevel"/>
    <w:tmpl w:val="053ACDC0"/>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tabs>
          <w:tab w:val="num" w:pos="851"/>
        </w:tabs>
        <w:ind w:left="850" w:hanging="425"/>
      </w:pPr>
      <w:rPr>
        <w:rFonts w:ascii="Calibri" w:hAnsi="Calibri" w:hint="default"/>
        <w:color w:val="auto"/>
      </w:rPr>
    </w:lvl>
    <w:lvl w:ilvl="2">
      <w:start w:val="1"/>
      <w:numFmt w:val="bullet"/>
      <w:pStyle w:val="ListBullet3"/>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41" w15:restartNumberingAfterBreak="0">
    <w:nsid w:val="7B23429C"/>
    <w:multiLevelType w:val="multilevel"/>
    <w:tmpl w:val="771248B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Numberedtext"/>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DCF504C"/>
    <w:multiLevelType w:val="hybridMultilevel"/>
    <w:tmpl w:val="80CA32E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346205193">
    <w:abstractNumId w:val="24"/>
  </w:num>
  <w:num w:numId="2" w16cid:durableId="1709985258">
    <w:abstractNumId w:val="32"/>
  </w:num>
  <w:num w:numId="3" w16cid:durableId="1079134020">
    <w:abstractNumId w:val="3"/>
  </w:num>
  <w:num w:numId="4" w16cid:durableId="1209686306">
    <w:abstractNumId w:val="2"/>
  </w:num>
  <w:num w:numId="5" w16cid:durableId="2057661989">
    <w:abstractNumId w:val="1"/>
  </w:num>
  <w:num w:numId="6" w16cid:durableId="1097168602">
    <w:abstractNumId w:val="0"/>
  </w:num>
  <w:num w:numId="7" w16cid:durableId="554245039">
    <w:abstractNumId w:val="6"/>
  </w:num>
  <w:num w:numId="8" w16cid:durableId="1364012501">
    <w:abstractNumId w:val="10"/>
  </w:num>
  <w:num w:numId="9" w16cid:durableId="1902132706">
    <w:abstractNumId w:val="34"/>
  </w:num>
  <w:num w:numId="10" w16cid:durableId="402602">
    <w:abstractNumId w:val="8"/>
  </w:num>
  <w:num w:numId="11" w16cid:durableId="181556398">
    <w:abstractNumId w:val="40"/>
  </w:num>
  <w:num w:numId="12" w16cid:durableId="103622671">
    <w:abstractNumId w:val="12"/>
  </w:num>
  <w:num w:numId="13" w16cid:durableId="1540243248">
    <w:abstractNumId w:val="29"/>
  </w:num>
  <w:num w:numId="14" w16cid:durableId="2088645969">
    <w:abstractNumId w:val="9"/>
  </w:num>
  <w:num w:numId="15" w16cid:durableId="754397336">
    <w:abstractNumId w:val="40"/>
  </w:num>
  <w:num w:numId="16" w16cid:durableId="1649624088">
    <w:abstractNumId w:val="38"/>
  </w:num>
  <w:num w:numId="17" w16cid:durableId="1485272649">
    <w:abstractNumId w:val="15"/>
  </w:num>
  <w:num w:numId="18" w16cid:durableId="324938468">
    <w:abstractNumId w:val="20"/>
  </w:num>
  <w:num w:numId="19" w16cid:durableId="1516840309">
    <w:abstractNumId w:val="20"/>
  </w:num>
  <w:num w:numId="20" w16cid:durableId="1141270182">
    <w:abstractNumId w:val="31"/>
  </w:num>
  <w:num w:numId="21" w16cid:durableId="1393768642">
    <w:abstractNumId w:val="19"/>
  </w:num>
  <w:num w:numId="22" w16cid:durableId="2019456405">
    <w:abstractNumId w:val="30"/>
  </w:num>
  <w:num w:numId="23" w16cid:durableId="1082097013">
    <w:abstractNumId w:val="39"/>
  </w:num>
  <w:num w:numId="24" w16cid:durableId="1978339139">
    <w:abstractNumId w:val="27"/>
  </w:num>
  <w:num w:numId="25" w16cid:durableId="1960379235">
    <w:abstractNumId w:val="16"/>
  </w:num>
  <w:num w:numId="26" w16cid:durableId="1069494870">
    <w:abstractNumId w:val="25"/>
  </w:num>
  <w:num w:numId="27" w16cid:durableId="1685328962">
    <w:abstractNumId w:val="42"/>
  </w:num>
  <w:num w:numId="28" w16cid:durableId="1168134539">
    <w:abstractNumId w:val="26"/>
  </w:num>
  <w:num w:numId="29" w16cid:durableId="1426152356">
    <w:abstractNumId w:val="36"/>
  </w:num>
  <w:num w:numId="30" w16cid:durableId="1611082643">
    <w:abstractNumId w:val="23"/>
  </w:num>
  <w:num w:numId="31" w16cid:durableId="941961103">
    <w:abstractNumId w:val="13"/>
  </w:num>
  <w:num w:numId="32" w16cid:durableId="736711730">
    <w:abstractNumId w:val="34"/>
    <w:lvlOverride w:ilvl="0">
      <w:startOverride w:val="2"/>
    </w:lvlOverride>
    <w:lvlOverride w:ilvl="1">
      <w:startOverride w:val="9"/>
    </w:lvlOverride>
  </w:num>
  <w:num w:numId="33" w16cid:durableId="279923149">
    <w:abstractNumId w:val="41"/>
  </w:num>
  <w:num w:numId="34" w16cid:durableId="271789451">
    <w:abstractNumId w:val="4"/>
  </w:num>
  <w:num w:numId="35" w16cid:durableId="154998657">
    <w:abstractNumId w:val="5"/>
  </w:num>
  <w:num w:numId="36" w16cid:durableId="1931695312">
    <w:abstractNumId w:val="37"/>
  </w:num>
  <w:num w:numId="37" w16cid:durableId="1184899488">
    <w:abstractNumId w:val="14"/>
  </w:num>
  <w:num w:numId="38" w16cid:durableId="1446542556">
    <w:abstractNumId w:val="33"/>
  </w:num>
  <w:num w:numId="39" w16cid:durableId="112114769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401816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62917047">
    <w:abstractNumId w:val="28"/>
  </w:num>
  <w:num w:numId="42" w16cid:durableId="252130326">
    <w:abstractNumId w:val="35"/>
  </w:num>
  <w:num w:numId="43" w16cid:durableId="159274055">
    <w:abstractNumId w:val="22"/>
  </w:num>
  <w:num w:numId="44" w16cid:durableId="1001815540">
    <w:abstractNumId w:val="7"/>
  </w:num>
  <w:num w:numId="45" w16cid:durableId="551113813">
    <w:abstractNumId w:val="21"/>
  </w:num>
  <w:num w:numId="46" w16cid:durableId="655839968">
    <w:abstractNumId w:val="11"/>
  </w:num>
  <w:num w:numId="47" w16cid:durableId="678434334">
    <w:abstractNumId w:val="17"/>
  </w:num>
  <w:num w:numId="48" w16cid:durableId="1304694618">
    <w:abstractNumId w:val="18"/>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ristine Thomas">
    <w15:presenceInfo w15:providerId="AD" w15:userId="S::christine.thomas@buildingselfbelief.onmicrosoft.com::3dfa9145-63eb-4071-9658-69e52bf0b5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6"/>
  <w:drawingGridVerticalSpacing w:val="6"/>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ATED" w:val="1"/>
    <w:docVar w:name="cbTextLanguage_ListCount" w:val="0"/>
    <w:docVar w:name="cbTextLanguage_ListIndex" w:val="-1"/>
    <w:docVar w:name="CheckBox2" w:val="0"/>
    <w:docVar w:name="chkAccessibleFormat" w:val="0"/>
    <w:docVar w:name="chkChangeCoverImage" w:val="0"/>
    <w:docVar w:name="chkDraft" w:val="0"/>
    <w:docVar w:name="chkFileName" w:val="0"/>
    <w:docVar w:name="chkFileNamePath" w:val="0"/>
    <w:docVar w:name="chkIncludeClientInHedaer" w:val="0"/>
    <w:docVar w:name="chkIncludeClientonCover" w:val="0"/>
    <w:docVar w:name="chkOfficeAddressBackcover" w:val="0"/>
    <w:docVar w:name="chkPrintedOnRecycledPaper" w:val="0"/>
    <w:docVar w:name="chkSaveFooterDetails" w:val="0"/>
    <w:docVar w:name="chkSaveOfficeAddress" w:val="0"/>
    <w:docVar w:name="chkScholars" w:val="0"/>
    <w:docVar w:name="chkTagLine" w:val="-1"/>
    <w:docVar w:name="chkUKILongformLimitations" w:val="0"/>
    <w:docVar w:name="chkWhiteBorder" w:val="0"/>
    <w:docVar w:name="lbANZDisclaimers_ListCount" w:val="0"/>
    <w:docVar w:name="lbANZDisclaimers_ListIndex" w:val="-1"/>
    <w:docVar w:name="lbANZLimitations_ListCount" w:val="0"/>
    <w:docVar w:name="lbANZLimitations_ListIndex" w:val="-1"/>
    <w:docVar w:name="lbAuthor_ListCount" w:val="0"/>
    <w:docVar w:name="lbAuthor_ListIndex" w:val="-1"/>
    <w:docVar w:name="lbImages_ListCount" w:val="12"/>
    <w:docVar w:name="lbImages_ListIndex" w:val="-1"/>
    <w:docVar w:name="lbProtectiveMarkings_0" w:val="None"/>
    <w:docVar w:name="lbProtectiveMarkings_0_0" w:val="None"/>
    <w:docVar w:name="lbProtectiveMarkings_1" w:val="PUBLIC"/>
    <w:docVar w:name="lbProtectiveMarkings_1_0" w:val="PUBLIC"/>
    <w:docVar w:name="lbProtectiveMarkings_2" w:val="OFFICIAL"/>
    <w:docVar w:name="lbProtectiveMarkings_2_0" w:val="OFFICIAL"/>
    <w:docVar w:name="lbProtectiveMarkings_3" w:val="COMPANY CONFIDENTIAL"/>
    <w:docVar w:name="lbProtectiveMarkings_3_0" w:val="COMPANY CONFIDENTIAL"/>
    <w:docVar w:name="lbProtectiveMarkings_4" w:val="COMMERCIAL IN CONFIDENCE"/>
    <w:docVar w:name="lbProtectiveMarkings_4_0" w:val="COMMERCIAL IN CONFIDENCE"/>
    <w:docVar w:name="lbProtectiveMarkings_5" w:val="DRAFT"/>
    <w:docVar w:name="lbProtectiveMarkings_5_0" w:val="DRAFT"/>
    <w:docVar w:name="lbProtectiveMarkings_6" w:val="Free-type ...  (use a comma to denote a new line)"/>
    <w:docVar w:name="lbProtectiveMarkings_6_0" w:val="Free-type ...  (use a comma to denote a new line)"/>
    <w:docVar w:name="lbProtectiveMarkings_ListCount" w:val="7"/>
    <w:docVar w:name="lbProtectiveMarkings_ListIndex" w:val="-1"/>
    <w:docVar w:name="optA3Landscape" w:val="0"/>
    <w:docVar w:name="optA4" w:val="-1"/>
    <w:docVar w:name="optA4Landscape" w:val="0"/>
    <w:docVar w:name="optA4Portrait" w:val="-1"/>
    <w:docVar w:name="optAA1column" w:val="-1"/>
    <w:docVar w:name="optAA2column" w:val="0"/>
    <w:docVar w:name="optAA3column" w:val="0"/>
    <w:docVar w:name="optArcColour1" w:val="0"/>
    <w:docVar w:name="optArcColour2" w:val="0"/>
    <w:docVar w:name="optArcColour3" w:val="-1"/>
    <w:docVar w:name="optArcColour4" w:val="0"/>
    <w:docVar w:name="optArcColour5" w:val="0"/>
    <w:docVar w:name="optArcDOWN" w:val="0"/>
    <w:docVar w:name="optArcUP" w:val="-1"/>
    <w:docVar w:name="optBW" w:val="0"/>
    <w:docVar w:name="optChangeFontAECOMSans" w:val="0"/>
    <w:docVar w:name="optChangeFontArial" w:val="-1"/>
    <w:docVar w:name="optCoverColour1" w:val="0"/>
    <w:docVar w:name="optCoverColour2" w:val="-1"/>
    <w:docVar w:name="optCoverColour3" w:val="0"/>
    <w:docVar w:name="optCoverColour4" w:val="0"/>
    <w:docVar w:name="optCoverColour5" w:val="0"/>
    <w:docVar w:name="optCoversheet" w:val="0"/>
    <w:docVar w:name="optDoubleSided" w:val="0"/>
    <w:docVar w:name="optFont10" w:val="0"/>
    <w:docVar w:name="optFont11" w:val="0"/>
    <w:docVar w:name="optFont12" w:val="0"/>
    <w:docVar w:name="optFont9" w:val="-1"/>
    <w:docVar w:name="optFontAccessibility" w:val="0"/>
    <w:docVar w:name="optGraphicFull" w:val="0"/>
    <w:docVar w:name="optHeading1Font18" w:val="0"/>
    <w:docVar w:name="optHeading1Font21" w:val="0"/>
    <w:docVar w:name="optHeading1Font24" w:val="-1"/>
    <w:docVar w:name="optImagesAECOM" w:val="0"/>
    <w:docVar w:name="optImagesBrowse" w:val="0"/>
    <w:docVar w:name="optLetter" w:val="0"/>
    <w:docVar w:name="optLogo" w:val="-1"/>
    <w:docVar w:name="optNoLogo" w:val="0"/>
    <w:docVar w:name="optNumberedHeadings" w:val="0"/>
    <w:docVar w:name="optNumberedHeadingsParagraphs" w:val="-1"/>
    <w:docVar w:name="optP0" w:val="0"/>
    <w:docVar w:name="optP1" w:val="0"/>
    <w:docVar w:name="optP2" w:val="0"/>
    <w:docVar w:name="optP3" w:val="0"/>
    <w:docVar w:name="optP4" w:val="0"/>
    <w:docVar w:name="optP5" w:val="0"/>
    <w:docVar w:name="optP6" w:val="0"/>
    <w:docVar w:name="optPhotoFull" w:val="0"/>
    <w:docVar w:name="optPhotoGrahicHalf" w:val="0"/>
    <w:docVar w:name="optPlainBlue" w:val="0"/>
    <w:docVar w:name="optProposal" w:val="0"/>
    <w:docVar w:name="optS0" w:val="0"/>
    <w:docVar w:name="optS1" w:val="0"/>
    <w:docVar w:name="optS2" w:val="0"/>
    <w:docVar w:name="optS3" w:val="0"/>
    <w:docVar w:name="optS4" w:val="0"/>
    <w:docVar w:name="optS5" w:val="0"/>
    <w:docVar w:name="optS6" w:val="0"/>
    <w:docVar w:name="optSingleSided" w:val="-1"/>
    <w:docVar w:name="optTechnicalReport" w:val="-1"/>
    <w:docVar w:name="optTender" w:val="0"/>
    <w:docVar w:name="optUnNumberedHeadings" w:val="0"/>
    <w:docVar w:name="optUSLetterLandscape" w:val="0"/>
    <w:docVar w:name="optUSLetterPortrait" w:val="0"/>
    <w:docVar w:name="RERUN" w:val="1"/>
    <w:docVar w:name="SelectedCountry" w:val="1"/>
    <w:docVar w:name="SelectedEntity" w:val="0"/>
    <w:docVar w:name="SelectedGeo" w:val="0"/>
    <w:docVar w:name="SelectedLanguage" w:val="0"/>
    <w:docVar w:name="SelectedOffice" w:val="30"/>
    <w:docVar w:name="SelectedPageLayout" w:val="3"/>
    <w:docVar w:name="SelectedRegion" w:val="1"/>
    <w:docVar w:name="tbDate" w:val="[month and year]"/>
    <w:docVar w:name="tbDocumentTitle" w:val="[NA Name]"/>
    <w:docVar w:name="tbFooterDetails" w:val="AECOM Infrastructure &amp; Environment UK Limited registered in England &amp; Wales, company number 880328._x000d__x000a_Scott House, Alencon Link, Basingstoke, Hampshire RG21 7PP"/>
    <w:docVar w:name="tbImage" w:val="None"/>
    <w:docVar w:name="tbOfficeAddress" w:val="AECOM Infrastructure &amp; Environment UK Limited_x000d__x000a_Aldgate Tower_x000d__x000a_2 Leman Street_x000d__x000a_London E1 8FA_x000d__x000a_United Kingdom_x000d__x000a_aecom.com"/>
    <w:docVar w:name="tbSubtitle" w:val="Housing Needs Assessment (HNA)"/>
    <w:docVar w:name="TranslateChart" w:val="Chart"/>
    <w:docVar w:name="TranslateFigure" w:val="Figure"/>
    <w:docVar w:name="TranslateTable" w:val="Table"/>
  </w:docVars>
  <w:rsids>
    <w:rsidRoot w:val="00B20C8D"/>
    <w:rsid w:val="0000006F"/>
    <w:rsid w:val="000005B3"/>
    <w:rsid w:val="00000797"/>
    <w:rsid w:val="00001667"/>
    <w:rsid w:val="000027C6"/>
    <w:rsid w:val="0000303D"/>
    <w:rsid w:val="00003331"/>
    <w:rsid w:val="00003657"/>
    <w:rsid w:val="00003BAF"/>
    <w:rsid w:val="000044F2"/>
    <w:rsid w:val="00004730"/>
    <w:rsid w:val="0000567F"/>
    <w:rsid w:val="000056CA"/>
    <w:rsid w:val="00005796"/>
    <w:rsid w:val="000071AE"/>
    <w:rsid w:val="00007757"/>
    <w:rsid w:val="00011928"/>
    <w:rsid w:val="00011B0A"/>
    <w:rsid w:val="00011F4F"/>
    <w:rsid w:val="00012651"/>
    <w:rsid w:val="00012A6F"/>
    <w:rsid w:val="000144E9"/>
    <w:rsid w:val="0001558A"/>
    <w:rsid w:val="00016970"/>
    <w:rsid w:val="00017514"/>
    <w:rsid w:val="00017DBF"/>
    <w:rsid w:val="00017DF8"/>
    <w:rsid w:val="00021F51"/>
    <w:rsid w:val="00023F39"/>
    <w:rsid w:val="00027224"/>
    <w:rsid w:val="00027303"/>
    <w:rsid w:val="00027795"/>
    <w:rsid w:val="00027EE7"/>
    <w:rsid w:val="00030E3E"/>
    <w:rsid w:val="0003139A"/>
    <w:rsid w:val="0003173A"/>
    <w:rsid w:val="00032207"/>
    <w:rsid w:val="0003297A"/>
    <w:rsid w:val="00032F69"/>
    <w:rsid w:val="00032F80"/>
    <w:rsid w:val="00033764"/>
    <w:rsid w:val="000357FE"/>
    <w:rsid w:val="000364E3"/>
    <w:rsid w:val="000365EA"/>
    <w:rsid w:val="00036906"/>
    <w:rsid w:val="000400FD"/>
    <w:rsid w:val="0004091C"/>
    <w:rsid w:val="0004238E"/>
    <w:rsid w:val="00042A1A"/>
    <w:rsid w:val="000444CC"/>
    <w:rsid w:val="00044A89"/>
    <w:rsid w:val="00044A8B"/>
    <w:rsid w:val="0004563A"/>
    <w:rsid w:val="0004726B"/>
    <w:rsid w:val="00047D92"/>
    <w:rsid w:val="00050057"/>
    <w:rsid w:val="0005126C"/>
    <w:rsid w:val="00052394"/>
    <w:rsid w:val="00053295"/>
    <w:rsid w:val="000534C8"/>
    <w:rsid w:val="0005363D"/>
    <w:rsid w:val="000537D2"/>
    <w:rsid w:val="00053F18"/>
    <w:rsid w:val="00055701"/>
    <w:rsid w:val="0005776B"/>
    <w:rsid w:val="0005782B"/>
    <w:rsid w:val="0006052A"/>
    <w:rsid w:val="00062EC2"/>
    <w:rsid w:val="00063645"/>
    <w:rsid w:val="00063885"/>
    <w:rsid w:val="000652F7"/>
    <w:rsid w:val="000663FA"/>
    <w:rsid w:val="00066A8B"/>
    <w:rsid w:val="000671F8"/>
    <w:rsid w:val="00067425"/>
    <w:rsid w:val="00067457"/>
    <w:rsid w:val="00070238"/>
    <w:rsid w:val="000709BB"/>
    <w:rsid w:val="000729F0"/>
    <w:rsid w:val="00073044"/>
    <w:rsid w:val="0007315D"/>
    <w:rsid w:val="000731E9"/>
    <w:rsid w:val="0007525D"/>
    <w:rsid w:val="00075AC3"/>
    <w:rsid w:val="000775AE"/>
    <w:rsid w:val="000779A2"/>
    <w:rsid w:val="00080E1B"/>
    <w:rsid w:val="0008106E"/>
    <w:rsid w:val="00082023"/>
    <w:rsid w:val="00082788"/>
    <w:rsid w:val="00083354"/>
    <w:rsid w:val="00083B2A"/>
    <w:rsid w:val="000840C5"/>
    <w:rsid w:val="000845A1"/>
    <w:rsid w:val="0008477B"/>
    <w:rsid w:val="0008533E"/>
    <w:rsid w:val="00086F41"/>
    <w:rsid w:val="000870C6"/>
    <w:rsid w:val="00090DBB"/>
    <w:rsid w:val="0009153B"/>
    <w:rsid w:val="00092B72"/>
    <w:rsid w:val="000941FF"/>
    <w:rsid w:val="000943A2"/>
    <w:rsid w:val="000947CF"/>
    <w:rsid w:val="00095E83"/>
    <w:rsid w:val="0009611E"/>
    <w:rsid w:val="00096653"/>
    <w:rsid w:val="00096668"/>
    <w:rsid w:val="000970D0"/>
    <w:rsid w:val="000973E7"/>
    <w:rsid w:val="000A0EA3"/>
    <w:rsid w:val="000A14DC"/>
    <w:rsid w:val="000A2D0C"/>
    <w:rsid w:val="000A333E"/>
    <w:rsid w:val="000A380B"/>
    <w:rsid w:val="000A52AE"/>
    <w:rsid w:val="000A5E31"/>
    <w:rsid w:val="000A675E"/>
    <w:rsid w:val="000A6A13"/>
    <w:rsid w:val="000B15B3"/>
    <w:rsid w:val="000B2764"/>
    <w:rsid w:val="000B28E6"/>
    <w:rsid w:val="000B29C9"/>
    <w:rsid w:val="000B2B52"/>
    <w:rsid w:val="000B5FF6"/>
    <w:rsid w:val="000B6940"/>
    <w:rsid w:val="000B7068"/>
    <w:rsid w:val="000B73C5"/>
    <w:rsid w:val="000B75D0"/>
    <w:rsid w:val="000C0024"/>
    <w:rsid w:val="000C0C36"/>
    <w:rsid w:val="000C0D34"/>
    <w:rsid w:val="000C0D5A"/>
    <w:rsid w:val="000C15CB"/>
    <w:rsid w:val="000C21E2"/>
    <w:rsid w:val="000C334B"/>
    <w:rsid w:val="000C3C1D"/>
    <w:rsid w:val="000C4311"/>
    <w:rsid w:val="000C5D2C"/>
    <w:rsid w:val="000C6D3B"/>
    <w:rsid w:val="000D0900"/>
    <w:rsid w:val="000D13AF"/>
    <w:rsid w:val="000D20E8"/>
    <w:rsid w:val="000D2E0D"/>
    <w:rsid w:val="000D5090"/>
    <w:rsid w:val="000D5CF5"/>
    <w:rsid w:val="000D6154"/>
    <w:rsid w:val="000D6FC2"/>
    <w:rsid w:val="000E13AA"/>
    <w:rsid w:val="000E32F6"/>
    <w:rsid w:val="000E4587"/>
    <w:rsid w:val="000E5162"/>
    <w:rsid w:val="000E662F"/>
    <w:rsid w:val="000E6E03"/>
    <w:rsid w:val="000E7481"/>
    <w:rsid w:val="000E7ACD"/>
    <w:rsid w:val="000F0027"/>
    <w:rsid w:val="000F0AE1"/>
    <w:rsid w:val="000F1625"/>
    <w:rsid w:val="000F22FF"/>
    <w:rsid w:val="000F23BE"/>
    <w:rsid w:val="000F2422"/>
    <w:rsid w:val="000F2C08"/>
    <w:rsid w:val="000F4ABC"/>
    <w:rsid w:val="000F5285"/>
    <w:rsid w:val="000F5328"/>
    <w:rsid w:val="000F668D"/>
    <w:rsid w:val="000F66C9"/>
    <w:rsid w:val="000F6C17"/>
    <w:rsid w:val="000F7965"/>
    <w:rsid w:val="0010019E"/>
    <w:rsid w:val="00101173"/>
    <w:rsid w:val="001015F8"/>
    <w:rsid w:val="00101CCE"/>
    <w:rsid w:val="00102648"/>
    <w:rsid w:val="0010409E"/>
    <w:rsid w:val="001047B4"/>
    <w:rsid w:val="00107F2E"/>
    <w:rsid w:val="00110478"/>
    <w:rsid w:val="00110A97"/>
    <w:rsid w:val="00112827"/>
    <w:rsid w:val="00112A4D"/>
    <w:rsid w:val="00113250"/>
    <w:rsid w:val="00113706"/>
    <w:rsid w:val="00113896"/>
    <w:rsid w:val="00115AA8"/>
    <w:rsid w:val="00115CA4"/>
    <w:rsid w:val="001175AE"/>
    <w:rsid w:val="0012093B"/>
    <w:rsid w:val="00121371"/>
    <w:rsid w:val="00121BD0"/>
    <w:rsid w:val="00125B7C"/>
    <w:rsid w:val="0012697D"/>
    <w:rsid w:val="00126ACF"/>
    <w:rsid w:val="00126E75"/>
    <w:rsid w:val="00127AF4"/>
    <w:rsid w:val="00130160"/>
    <w:rsid w:val="001315BF"/>
    <w:rsid w:val="001321F2"/>
    <w:rsid w:val="00132860"/>
    <w:rsid w:val="00133853"/>
    <w:rsid w:val="00134018"/>
    <w:rsid w:val="001343B0"/>
    <w:rsid w:val="00134992"/>
    <w:rsid w:val="00135D79"/>
    <w:rsid w:val="00136AA6"/>
    <w:rsid w:val="00136B1A"/>
    <w:rsid w:val="00136C29"/>
    <w:rsid w:val="00137047"/>
    <w:rsid w:val="00137944"/>
    <w:rsid w:val="001408A2"/>
    <w:rsid w:val="0014111B"/>
    <w:rsid w:val="0014212F"/>
    <w:rsid w:val="001430F2"/>
    <w:rsid w:val="00143671"/>
    <w:rsid w:val="00143D54"/>
    <w:rsid w:val="001445EA"/>
    <w:rsid w:val="00144B71"/>
    <w:rsid w:val="001453AD"/>
    <w:rsid w:val="00145502"/>
    <w:rsid w:val="00145518"/>
    <w:rsid w:val="00145561"/>
    <w:rsid w:val="0014571E"/>
    <w:rsid w:val="00145D9A"/>
    <w:rsid w:val="00146C5C"/>
    <w:rsid w:val="00147247"/>
    <w:rsid w:val="00147610"/>
    <w:rsid w:val="00150531"/>
    <w:rsid w:val="001506E6"/>
    <w:rsid w:val="0015325A"/>
    <w:rsid w:val="001535B8"/>
    <w:rsid w:val="001535D0"/>
    <w:rsid w:val="00155967"/>
    <w:rsid w:val="00162BC1"/>
    <w:rsid w:val="001648C2"/>
    <w:rsid w:val="00164CB2"/>
    <w:rsid w:val="001657ED"/>
    <w:rsid w:val="00165FC8"/>
    <w:rsid w:val="00166A8D"/>
    <w:rsid w:val="00166D71"/>
    <w:rsid w:val="00170857"/>
    <w:rsid w:val="00170CAD"/>
    <w:rsid w:val="00171125"/>
    <w:rsid w:val="0017116A"/>
    <w:rsid w:val="00172BCF"/>
    <w:rsid w:val="00173782"/>
    <w:rsid w:val="001745DA"/>
    <w:rsid w:val="001750DB"/>
    <w:rsid w:val="0017703A"/>
    <w:rsid w:val="00177077"/>
    <w:rsid w:val="00177135"/>
    <w:rsid w:val="00177C13"/>
    <w:rsid w:val="00177DEA"/>
    <w:rsid w:val="001807D4"/>
    <w:rsid w:val="00180C1C"/>
    <w:rsid w:val="0018100D"/>
    <w:rsid w:val="0018305D"/>
    <w:rsid w:val="0018457F"/>
    <w:rsid w:val="001855B4"/>
    <w:rsid w:val="00185AE0"/>
    <w:rsid w:val="0018600D"/>
    <w:rsid w:val="00186090"/>
    <w:rsid w:val="00186692"/>
    <w:rsid w:val="00186702"/>
    <w:rsid w:val="00187CB8"/>
    <w:rsid w:val="00190CDA"/>
    <w:rsid w:val="001920F8"/>
    <w:rsid w:val="00192416"/>
    <w:rsid w:val="0019268A"/>
    <w:rsid w:val="00192883"/>
    <w:rsid w:val="00193122"/>
    <w:rsid w:val="00193189"/>
    <w:rsid w:val="001937F2"/>
    <w:rsid w:val="00193855"/>
    <w:rsid w:val="00194288"/>
    <w:rsid w:val="00194C88"/>
    <w:rsid w:val="00196E20"/>
    <w:rsid w:val="001A08BC"/>
    <w:rsid w:val="001A11B6"/>
    <w:rsid w:val="001A19B4"/>
    <w:rsid w:val="001A1F61"/>
    <w:rsid w:val="001A2912"/>
    <w:rsid w:val="001A29A2"/>
    <w:rsid w:val="001A31CB"/>
    <w:rsid w:val="001A4ADF"/>
    <w:rsid w:val="001A52C9"/>
    <w:rsid w:val="001A52DD"/>
    <w:rsid w:val="001A6163"/>
    <w:rsid w:val="001A793E"/>
    <w:rsid w:val="001A7D8B"/>
    <w:rsid w:val="001B0A99"/>
    <w:rsid w:val="001B143D"/>
    <w:rsid w:val="001B29DF"/>
    <w:rsid w:val="001B4406"/>
    <w:rsid w:val="001B4621"/>
    <w:rsid w:val="001B67A6"/>
    <w:rsid w:val="001C07AF"/>
    <w:rsid w:val="001C2925"/>
    <w:rsid w:val="001C2BC0"/>
    <w:rsid w:val="001C3018"/>
    <w:rsid w:val="001C3354"/>
    <w:rsid w:val="001C3413"/>
    <w:rsid w:val="001C44C9"/>
    <w:rsid w:val="001C4B17"/>
    <w:rsid w:val="001C5F36"/>
    <w:rsid w:val="001C60EF"/>
    <w:rsid w:val="001C699F"/>
    <w:rsid w:val="001C7D04"/>
    <w:rsid w:val="001D0AD4"/>
    <w:rsid w:val="001D0D6B"/>
    <w:rsid w:val="001D1299"/>
    <w:rsid w:val="001D135D"/>
    <w:rsid w:val="001D150B"/>
    <w:rsid w:val="001D1850"/>
    <w:rsid w:val="001D33BC"/>
    <w:rsid w:val="001D343C"/>
    <w:rsid w:val="001D499A"/>
    <w:rsid w:val="001D50C8"/>
    <w:rsid w:val="001D7330"/>
    <w:rsid w:val="001E135A"/>
    <w:rsid w:val="001E174D"/>
    <w:rsid w:val="001E1DB1"/>
    <w:rsid w:val="001E2122"/>
    <w:rsid w:val="001E28A2"/>
    <w:rsid w:val="001E3FC2"/>
    <w:rsid w:val="001E453D"/>
    <w:rsid w:val="001E73DA"/>
    <w:rsid w:val="001E7404"/>
    <w:rsid w:val="001E7473"/>
    <w:rsid w:val="001F013F"/>
    <w:rsid w:val="001F13D9"/>
    <w:rsid w:val="001F142A"/>
    <w:rsid w:val="001F2267"/>
    <w:rsid w:val="001F34A3"/>
    <w:rsid w:val="001F4214"/>
    <w:rsid w:val="001F4D5B"/>
    <w:rsid w:val="001F5E46"/>
    <w:rsid w:val="001F66C1"/>
    <w:rsid w:val="001F693A"/>
    <w:rsid w:val="002002E5"/>
    <w:rsid w:val="00200613"/>
    <w:rsid w:val="00201C53"/>
    <w:rsid w:val="002024D6"/>
    <w:rsid w:val="00202750"/>
    <w:rsid w:val="00203182"/>
    <w:rsid w:val="0020377F"/>
    <w:rsid w:val="00203A4A"/>
    <w:rsid w:val="00203E6D"/>
    <w:rsid w:val="00204146"/>
    <w:rsid w:val="00205FA1"/>
    <w:rsid w:val="002065EF"/>
    <w:rsid w:val="00207ECA"/>
    <w:rsid w:val="00210FE1"/>
    <w:rsid w:val="00211D8E"/>
    <w:rsid w:val="002122AA"/>
    <w:rsid w:val="00212643"/>
    <w:rsid w:val="00213392"/>
    <w:rsid w:val="002134B0"/>
    <w:rsid w:val="00214171"/>
    <w:rsid w:val="002147C0"/>
    <w:rsid w:val="00214F3C"/>
    <w:rsid w:val="00215496"/>
    <w:rsid w:val="0021591F"/>
    <w:rsid w:val="00215A8B"/>
    <w:rsid w:val="00215FCC"/>
    <w:rsid w:val="00216A01"/>
    <w:rsid w:val="00216F12"/>
    <w:rsid w:val="00220245"/>
    <w:rsid w:val="00220559"/>
    <w:rsid w:val="00220CA3"/>
    <w:rsid w:val="00223F4D"/>
    <w:rsid w:val="0022472C"/>
    <w:rsid w:val="002253D6"/>
    <w:rsid w:val="00226E8D"/>
    <w:rsid w:val="00230A71"/>
    <w:rsid w:val="00230B38"/>
    <w:rsid w:val="00232497"/>
    <w:rsid w:val="00233657"/>
    <w:rsid w:val="00233A1C"/>
    <w:rsid w:val="002340CC"/>
    <w:rsid w:val="002345F5"/>
    <w:rsid w:val="002353C9"/>
    <w:rsid w:val="00235EC7"/>
    <w:rsid w:val="0023612A"/>
    <w:rsid w:val="00236D91"/>
    <w:rsid w:val="002402D4"/>
    <w:rsid w:val="00241364"/>
    <w:rsid w:val="0024247B"/>
    <w:rsid w:val="00242515"/>
    <w:rsid w:val="00243C51"/>
    <w:rsid w:val="00244809"/>
    <w:rsid w:val="00245043"/>
    <w:rsid w:val="00245426"/>
    <w:rsid w:val="00246305"/>
    <w:rsid w:val="002468F4"/>
    <w:rsid w:val="00247429"/>
    <w:rsid w:val="00247AB2"/>
    <w:rsid w:val="002528DC"/>
    <w:rsid w:val="00252C7F"/>
    <w:rsid w:val="00252C91"/>
    <w:rsid w:val="00253171"/>
    <w:rsid w:val="00254EC8"/>
    <w:rsid w:val="002560F9"/>
    <w:rsid w:val="00257118"/>
    <w:rsid w:val="00257B6D"/>
    <w:rsid w:val="002603F2"/>
    <w:rsid w:val="002609AD"/>
    <w:rsid w:val="00261D7A"/>
    <w:rsid w:val="00262B51"/>
    <w:rsid w:val="00262EF3"/>
    <w:rsid w:val="00263F55"/>
    <w:rsid w:val="00264F32"/>
    <w:rsid w:val="00267056"/>
    <w:rsid w:val="002701A9"/>
    <w:rsid w:val="0027056A"/>
    <w:rsid w:val="00270D26"/>
    <w:rsid w:val="00270E14"/>
    <w:rsid w:val="002712F2"/>
    <w:rsid w:val="0027157D"/>
    <w:rsid w:val="00271826"/>
    <w:rsid w:val="00271944"/>
    <w:rsid w:val="00273FFF"/>
    <w:rsid w:val="002740A7"/>
    <w:rsid w:val="002741BD"/>
    <w:rsid w:val="00274832"/>
    <w:rsid w:val="0027560D"/>
    <w:rsid w:val="00275F7A"/>
    <w:rsid w:val="002762F6"/>
    <w:rsid w:val="002770A0"/>
    <w:rsid w:val="0027765A"/>
    <w:rsid w:val="00277FF1"/>
    <w:rsid w:val="0028145A"/>
    <w:rsid w:val="002819C8"/>
    <w:rsid w:val="00281AE5"/>
    <w:rsid w:val="00283697"/>
    <w:rsid w:val="00283802"/>
    <w:rsid w:val="00284688"/>
    <w:rsid w:val="00284C82"/>
    <w:rsid w:val="002866E8"/>
    <w:rsid w:val="002877FB"/>
    <w:rsid w:val="00287CD3"/>
    <w:rsid w:val="00287F1E"/>
    <w:rsid w:val="00290C33"/>
    <w:rsid w:val="002913CD"/>
    <w:rsid w:val="002919C8"/>
    <w:rsid w:val="00292670"/>
    <w:rsid w:val="00292A59"/>
    <w:rsid w:val="00292B62"/>
    <w:rsid w:val="00293C45"/>
    <w:rsid w:val="00294883"/>
    <w:rsid w:val="002957DE"/>
    <w:rsid w:val="0029605F"/>
    <w:rsid w:val="002973E7"/>
    <w:rsid w:val="002A03D9"/>
    <w:rsid w:val="002A1A07"/>
    <w:rsid w:val="002A49DB"/>
    <w:rsid w:val="002A5CCC"/>
    <w:rsid w:val="002A7B70"/>
    <w:rsid w:val="002A7CB9"/>
    <w:rsid w:val="002B05AB"/>
    <w:rsid w:val="002B1CCC"/>
    <w:rsid w:val="002B1D7D"/>
    <w:rsid w:val="002B3B7A"/>
    <w:rsid w:val="002B459F"/>
    <w:rsid w:val="002B4677"/>
    <w:rsid w:val="002B4D6E"/>
    <w:rsid w:val="002B55A8"/>
    <w:rsid w:val="002B5A8F"/>
    <w:rsid w:val="002B6C73"/>
    <w:rsid w:val="002B7335"/>
    <w:rsid w:val="002C21D8"/>
    <w:rsid w:val="002C2906"/>
    <w:rsid w:val="002C407D"/>
    <w:rsid w:val="002C40AE"/>
    <w:rsid w:val="002C4532"/>
    <w:rsid w:val="002C4B35"/>
    <w:rsid w:val="002C55F6"/>
    <w:rsid w:val="002C56C8"/>
    <w:rsid w:val="002C5F75"/>
    <w:rsid w:val="002C63AB"/>
    <w:rsid w:val="002C646C"/>
    <w:rsid w:val="002C7295"/>
    <w:rsid w:val="002C77CB"/>
    <w:rsid w:val="002C78EC"/>
    <w:rsid w:val="002C7E48"/>
    <w:rsid w:val="002D0A4D"/>
    <w:rsid w:val="002D1696"/>
    <w:rsid w:val="002D1969"/>
    <w:rsid w:val="002D1BA1"/>
    <w:rsid w:val="002D1F63"/>
    <w:rsid w:val="002D25D5"/>
    <w:rsid w:val="002D2DBE"/>
    <w:rsid w:val="002D45C8"/>
    <w:rsid w:val="002D51B3"/>
    <w:rsid w:val="002D5FD0"/>
    <w:rsid w:val="002D6FD9"/>
    <w:rsid w:val="002D79E6"/>
    <w:rsid w:val="002D7F13"/>
    <w:rsid w:val="002E1EF2"/>
    <w:rsid w:val="002E20C0"/>
    <w:rsid w:val="002E3925"/>
    <w:rsid w:val="002E5760"/>
    <w:rsid w:val="002E6226"/>
    <w:rsid w:val="002E6860"/>
    <w:rsid w:val="002E69BE"/>
    <w:rsid w:val="002E6EF9"/>
    <w:rsid w:val="002E72EA"/>
    <w:rsid w:val="002E7392"/>
    <w:rsid w:val="002E7E68"/>
    <w:rsid w:val="002F0963"/>
    <w:rsid w:val="002F12B2"/>
    <w:rsid w:val="002F3B02"/>
    <w:rsid w:val="002F4C5E"/>
    <w:rsid w:val="002F740C"/>
    <w:rsid w:val="002F74C7"/>
    <w:rsid w:val="002F7500"/>
    <w:rsid w:val="002F7693"/>
    <w:rsid w:val="002F7D21"/>
    <w:rsid w:val="00301623"/>
    <w:rsid w:val="00302858"/>
    <w:rsid w:val="00302880"/>
    <w:rsid w:val="00302A12"/>
    <w:rsid w:val="00303ACC"/>
    <w:rsid w:val="00306118"/>
    <w:rsid w:val="00306B59"/>
    <w:rsid w:val="00307156"/>
    <w:rsid w:val="003075CE"/>
    <w:rsid w:val="00307A85"/>
    <w:rsid w:val="00310BF3"/>
    <w:rsid w:val="00310C60"/>
    <w:rsid w:val="0031140B"/>
    <w:rsid w:val="00311641"/>
    <w:rsid w:val="00311C82"/>
    <w:rsid w:val="003123E2"/>
    <w:rsid w:val="0031246C"/>
    <w:rsid w:val="00312994"/>
    <w:rsid w:val="003130BF"/>
    <w:rsid w:val="003130C2"/>
    <w:rsid w:val="00313ECF"/>
    <w:rsid w:val="003158CF"/>
    <w:rsid w:val="00315C27"/>
    <w:rsid w:val="003163CB"/>
    <w:rsid w:val="00316CE6"/>
    <w:rsid w:val="0031751C"/>
    <w:rsid w:val="00320699"/>
    <w:rsid w:val="00323122"/>
    <w:rsid w:val="00323654"/>
    <w:rsid w:val="0032577C"/>
    <w:rsid w:val="003269F3"/>
    <w:rsid w:val="00327242"/>
    <w:rsid w:val="00327DD0"/>
    <w:rsid w:val="00330DC8"/>
    <w:rsid w:val="00331946"/>
    <w:rsid w:val="00331A76"/>
    <w:rsid w:val="00332829"/>
    <w:rsid w:val="003338B5"/>
    <w:rsid w:val="00334088"/>
    <w:rsid w:val="0033551C"/>
    <w:rsid w:val="003355AE"/>
    <w:rsid w:val="00336535"/>
    <w:rsid w:val="0033654D"/>
    <w:rsid w:val="0033695D"/>
    <w:rsid w:val="0033783B"/>
    <w:rsid w:val="0034184C"/>
    <w:rsid w:val="00341980"/>
    <w:rsid w:val="00341D7D"/>
    <w:rsid w:val="00341FC3"/>
    <w:rsid w:val="00342568"/>
    <w:rsid w:val="00342A65"/>
    <w:rsid w:val="00342FC4"/>
    <w:rsid w:val="00343248"/>
    <w:rsid w:val="003449D9"/>
    <w:rsid w:val="00344A00"/>
    <w:rsid w:val="00345FE1"/>
    <w:rsid w:val="003468AE"/>
    <w:rsid w:val="00347228"/>
    <w:rsid w:val="00347538"/>
    <w:rsid w:val="00350A04"/>
    <w:rsid w:val="003516AF"/>
    <w:rsid w:val="003521C7"/>
    <w:rsid w:val="00352BCD"/>
    <w:rsid w:val="003559B5"/>
    <w:rsid w:val="00355C26"/>
    <w:rsid w:val="00356CC8"/>
    <w:rsid w:val="0035747F"/>
    <w:rsid w:val="00360E91"/>
    <w:rsid w:val="003636AD"/>
    <w:rsid w:val="00364FD7"/>
    <w:rsid w:val="00366B69"/>
    <w:rsid w:val="003702DD"/>
    <w:rsid w:val="00370AF0"/>
    <w:rsid w:val="00371520"/>
    <w:rsid w:val="00371B14"/>
    <w:rsid w:val="003723EF"/>
    <w:rsid w:val="003727C7"/>
    <w:rsid w:val="003732CF"/>
    <w:rsid w:val="003742A0"/>
    <w:rsid w:val="00375598"/>
    <w:rsid w:val="003760C4"/>
    <w:rsid w:val="0037743B"/>
    <w:rsid w:val="003777E0"/>
    <w:rsid w:val="0037784E"/>
    <w:rsid w:val="003815E4"/>
    <w:rsid w:val="003818C3"/>
    <w:rsid w:val="003833AF"/>
    <w:rsid w:val="00383735"/>
    <w:rsid w:val="00383AB8"/>
    <w:rsid w:val="00386FFE"/>
    <w:rsid w:val="0038720F"/>
    <w:rsid w:val="00387B7C"/>
    <w:rsid w:val="00387DEF"/>
    <w:rsid w:val="0039114F"/>
    <w:rsid w:val="003918D8"/>
    <w:rsid w:val="00392C6A"/>
    <w:rsid w:val="003934D8"/>
    <w:rsid w:val="00393843"/>
    <w:rsid w:val="00394BA5"/>
    <w:rsid w:val="003961BC"/>
    <w:rsid w:val="003964DC"/>
    <w:rsid w:val="003964F2"/>
    <w:rsid w:val="003A00B6"/>
    <w:rsid w:val="003A0185"/>
    <w:rsid w:val="003A7385"/>
    <w:rsid w:val="003A7787"/>
    <w:rsid w:val="003A79BB"/>
    <w:rsid w:val="003B18BF"/>
    <w:rsid w:val="003B21AF"/>
    <w:rsid w:val="003B24C9"/>
    <w:rsid w:val="003B25C3"/>
    <w:rsid w:val="003B31A5"/>
    <w:rsid w:val="003B36BF"/>
    <w:rsid w:val="003B37E6"/>
    <w:rsid w:val="003B3C47"/>
    <w:rsid w:val="003B44FA"/>
    <w:rsid w:val="003B4AB4"/>
    <w:rsid w:val="003B698C"/>
    <w:rsid w:val="003B6C9A"/>
    <w:rsid w:val="003B788D"/>
    <w:rsid w:val="003C03B9"/>
    <w:rsid w:val="003C10A6"/>
    <w:rsid w:val="003C11A1"/>
    <w:rsid w:val="003C1AB2"/>
    <w:rsid w:val="003C41AA"/>
    <w:rsid w:val="003C43E3"/>
    <w:rsid w:val="003D08F2"/>
    <w:rsid w:val="003D0983"/>
    <w:rsid w:val="003D1681"/>
    <w:rsid w:val="003D2760"/>
    <w:rsid w:val="003D2814"/>
    <w:rsid w:val="003D3C07"/>
    <w:rsid w:val="003D4537"/>
    <w:rsid w:val="003D47D2"/>
    <w:rsid w:val="003D499C"/>
    <w:rsid w:val="003D504B"/>
    <w:rsid w:val="003D50EF"/>
    <w:rsid w:val="003D52C2"/>
    <w:rsid w:val="003D6632"/>
    <w:rsid w:val="003D684F"/>
    <w:rsid w:val="003D6BD2"/>
    <w:rsid w:val="003D721F"/>
    <w:rsid w:val="003E04ED"/>
    <w:rsid w:val="003E0A00"/>
    <w:rsid w:val="003E1070"/>
    <w:rsid w:val="003E17B7"/>
    <w:rsid w:val="003E18E2"/>
    <w:rsid w:val="003E1CEA"/>
    <w:rsid w:val="003E3DFD"/>
    <w:rsid w:val="003E4FE3"/>
    <w:rsid w:val="003E5C28"/>
    <w:rsid w:val="003E5E12"/>
    <w:rsid w:val="003E60AF"/>
    <w:rsid w:val="003E60FA"/>
    <w:rsid w:val="003E61D9"/>
    <w:rsid w:val="003E7C21"/>
    <w:rsid w:val="003F10D9"/>
    <w:rsid w:val="003F176A"/>
    <w:rsid w:val="003F1A24"/>
    <w:rsid w:val="003F2C02"/>
    <w:rsid w:val="003F3085"/>
    <w:rsid w:val="003F4EB7"/>
    <w:rsid w:val="003F54D0"/>
    <w:rsid w:val="003F618A"/>
    <w:rsid w:val="003F6AC2"/>
    <w:rsid w:val="003F7459"/>
    <w:rsid w:val="003F7AA7"/>
    <w:rsid w:val="003F7EA0"/>
    <w:rsid w:val="004006F8"/>
    <w:rsid w:val="00400934"/>
    <w:rsid w:val="00400AFF"/>
    <w:rsid w:val="00401ACF"/>
    <w:rsid w:val="00401D2B"/>
    <w:rsid w:val="004028E4"/>
    <w:rsid w:val="00402DEA"/>
    <w:rsid w:val="00402F38"/>
    <w:rsid w:val="0040354C"/>
    <w:rsid w:val="00405F4D"/>
    <w:rsid w:val="0040621C"/>
    <w:rsid w:val="00406521"/>
    <w:rsid w:val="00407772"/>
    <w:rsid w:val="00410864"/>
    <w:rsid w:val="00413207"/>
    <w:rsid w:val="0041372D"/>
    <w:rsid w:val="00413BDE"/>
    <w:rsid w:val="0041487B"/>
    <w:rsid w:val="00415158"/>
    <w:rsid w:val="00415998"/>
    <w:rsid w:val="00415CED"/>
    <w:rsid w:val="0041646A"/>
    <w:rsid w:val="00417649"/>
    <w:rsid w:val="0042049B"/>
    <w:rsid w:val="00420923"/>
    <w:rsid w:val="004217B6"/>
    <w:rsid w:val="0042205D"/>
    <w:rsid w:val="00422DA1"/>
    <w:rsid w:val="00422E8C"/>
    <w:rsid w:val="00423460"/>
    <w:rsid w:val="00423BAA"/>
    <w:rsid w:val="0042510A"/>
    <w:rsid w:val="004320EC"/>
    <w:rsid w:val="00433103"/>
    <w:rsid w:val="0043394D"/>
    <w:rsid w:val="00434A27"/>
    <w:rsid w:val="00434A71"/>
    <w:rsid w:val="00434C10"/>
    <w:rsid w:val="00437546"/>
    <w:rsid w:val="00440874"/>
    <w:rsid w:val="00440A3E"/>
    <w:rsid w:val="0044100E"/>
    <w:rsid w:val="0044146E"/>
    <w:rsid w:val="00441713"/>
    <w:rsid w:val="00442584"/>
    <w:rsid w:val="00442819"/>
    <w:rsid w:val="00444485"/>
    <w:rsid w:val="00444A21"/>
    <w:rsid w:val="004460FF"/>
    <w:rsid w:val="0044674C"/>
    <w:rsid w:val="00446ED7"/>
    <w:rsid w:val="0044740F"/>
    <w:rsid w:val="004479B4"/>
    <w:rsid w:val="00447A31"/>
    <w:rsid w:val="0045162F"/>
    <w:rsid w:val="00454B60"/>
    <w:rsid w:val="00455949"/>
    <w:rsid w:val="00455BF9"/>
    <w:rsid w:val="00457BB1"/>
    <w:rsid w:val="0046005E"/>
    <w:rsid w:val="004604EC"/>
    <w:rsid w:val="00460C15"/>
    <w:rsid w:val="00460F70"/>
    <w:rsid w:val="00461235"/>
    <w:rsid w:val="004624FD"/>
    <w:rsid w:val="00462B2A"/>
    <w:rsid w:val="00462F3C"/>
    <w:rsid w:val="00463E15"/>
    <w:rsid w:val="004641BD"/>
    <w:rsid w:val="00465234"/>
    <w:rsid w:val="004666C2"/>
    <w:rsid w:val="00467014"/>
    <w:rsid w:val="00467E36"/>
    <w:rsid w:val="00471FA5"/>
    <w:rsid w:val="00472275"/>
    <w:rsid w:val="004727C4"/>
    <w:rsid w:val="00473BA7"/>
    <w:rsid w:val="004742EC"/>
    <w:rsid w:val="0047442C"/>
    <w:rsid w:val="00475126"/>
    <w:rsid w:val="00475C76"/>
    <w:rsid w:val="004775A3"/>
    <w:rsid w:val="00477B0D"/>
    <w:rsid w:val="0048053F"/>
    <w:rsid w:val="00480D7C"/>
    <w:rsid w:val="00480F13"/>
    <w:rsid w:val="0048181B"/>
    <w:rsid w:val="00481A96"/>
    <w:rsid w:val="0048229F"/>
    <w:rsid w:val="004823EB"/>
    <w:rsid w:val="004828E3"/>
    <w:rsid w:val="004834F0"/>
    <w:rsid w:val="00483643"/>
    <w:rsid w:val="004837CE"/>
    <w:rsid w:val="0048566F"/>
    <w:rsid w:val="00486291"/>
    <w:rsid w:val="004864E1"/>
    <w:rsid w:val="00486541"/>
    <w:rsid w:val="00486D5A"/>
    <w:rsid w:val="0048755A"/>
    <w:rsid w:val="00487F1A"/>
    <w:rsid w:val="00490643"/>
    <w:rsid w:val="0049083F"/>
    <w:rsid w:val="004908C7"/>
    <w:rsid w:val="004909D8"/>
    <w:rsid w:val="00491D33"/>
    <w:rsid w:val="00493581"/>
    <w:rsid w:val="004938ED"/>
    <w:rsid w:val="00493CF1"/>
    <w:rsid w:val="00493F74"/>
    <w:rsid w:val="004941B8"/>
    <w:rsid w:val="00494519"/>
    <w:rsid w:val="00494B42"/>
    <w:rsid w:val="00495508"/>
    <w:rsid w:val="00495CFA"/>
    <w:rsid w:val="004962EC"/>
    <w:rsid w:val="00497F4A"/>
    <w:rsid w:val="004A019D"/>
    <w:rsid w:val="004A1008"/>
    <w:rsid w:val="004A321A"/>
    <w:rsid w:val="004A438B"/>
    <w:rsid w:val="004A5BE5"/>
    <w:rsid w:val="004A6040"/>
    <w:rsid w:val="004A71FD"/>
    <w:rsid w:val="004A7221"/>
    <w:rsid w:val="004B1470"/>
    <w:rsid w:val="004B1D19"/>
    <w:rsid w:val="004B39DD"/>
    <w:rsid w:val="004B3EC5"/>
    <w:rsid w:val="004B40BC"/>
    <w:rsid w:val="004B4326"/>
    <w:rsid w:val="004B6096"/>
    <w:rsid w:val="004B75BF"/>
    <w:rsid w:val="004B77D4"/>
    <w:rsid w:val="004B7D16"/>
    <w:rsid w:val="004C0545"/>
    <w:rsid w:val="004C1357"/>
    <w:rsid w:val="004C172C"/>
    <w:rsid w:val="004C255D"/>
    <w:rsid w:val="004C4813"/>
    <w:rsid w:val="004C4865"/>
    <w:rsid w:val="004C5BF4"/>
    <w:rsid w:val="004D04BC"/>
    <w:rsid w:val="004D1166"/>
    <w:rsid w:val="004D1548"/>
    <w:rsid w:val="004D20F3"/>
    <w:rsid w:val="004D24CD"/>
    <w:rsid w:val="004D2A8B"/>
    <w:rsid w:val="004D40F0"/>
    <w:rsid w:val="004D4320"/>
    <w:rsid w:val="004D4544"/>
    <w:rsid w:val="004D4675"/>
    <w:rsid w:val="004D4702"/>
    <w:rsid w:val="004D4A35"/>
    <w:rsid w:val="004D5670"/>
    <w:rsid w:val="004D64B8"/>
    <w:rsid w:val="004D65DF"/>
    <w:rsid w:val="004D6D73"/>
    <w:rsid w:val="004D71BB"/>
    <w:rsid w:val="004D7826"/>
    <w:rsid w:val="004D7C50"/>
    <w:rsid w:val="004E0C8D"/>
    <w:rsid w:val="004E0F82"/>
    <w:rsid w:val="004E1AF7"/>
    <w:rsid w:val="004E1B08"/>
    <w:rsid w:val="004E3A02"/>
    <w:rsid w:val="004E43B0"/>
    <w:rsid w:val="004E49A4"/>
    <w:rsid w:val="004E4C77"/>
    <w:rsid w:val="004E5795"/>
    <w:rsid w:val="004E57C5"/>
    <w:rsid w:val="004E67AC"/>
    <w:rsid w:val="004E7017"/>
    <w:rsid w:val="004F068B"/>
    <w:rsid w:val="004F1F35"/>
    <w:rsid w:val="004F2A79"/>
    <w:rsid w:val="004F5A8F"/>
    <w:rsid w:val="004F5C53"/>
    <w:rsid w:val="004F6CC0"/>
    <w:rsid w:val="004F6E2F"/>
    <w:rsid w:val="004F6EF7"/>
    <w:rsid w:val="005011CA"/>
    <w:rsid w:val="005018A2"/>
    <w:rsid w:val="0050272F"/>
    <w:rsid w:val="00503E32"/>
    <w:rsid w:val="00503E92"/>
    <w:rsid w:val="005056EB"/>
    <w:rsid w:val="00505B6A"/>
    <w:rsid w:val="00506A03"/>
    <w:rsid w:val="0050790B"/>
    <w:rsid w:val="00511C85"/>
    <w:rsid w:val="00511F94"/>
    <w:rsid w:val="00512B79"/>
    <w:rsid w:val="00512D96"/>
    <w:rsid w:val="00513132"/>
    <w:rsid w:val="005137B7"/>
    <w:rsid w:val="00514B9E"/>
    <w:rsid w:val="00516141"/>
    <w:rsid w:val="00516D06"/>
    <w:rsid w:val="00517F7D"/>
    <w:rsid w:val="00521201"/>
    <w:rsid w:val="005238BA"/>
    <w:rsid w:val="005239A6"/>
    <w:rsid w:val="00523EFC"/>
    <w:rsid w:val="00525DFF"/>
    <w:rsid w:val="00526E84"/>
    <w:rsid w:val="005270A5"/>
    <w:rsid w:val="00530B82"/>
    <w:rsid w:val="00532867"/>
    <w:rsid w:val="005335D1"/>
    <w:rsid w:val="00533D00"/>
    <w:rsid w:val="005342D8"/>
    <w:rsid w:val="005350BC"/>
    <w:rsid w:val="005354C0"/>
    <w:rsid w:val="005354EE"/>
    <w:rsid w:val="00535696"/>
    <w:rsid w:val="00535D13"/>
    <w:rsid w:val="00537728"/>
    <w:rsid w:val="005378BC"/>
    <w:rsid w:val="00537A3F"/>
    <w:rsid w:val="0054198F"/>
    <w:rsid w:val="00542152"/>
    <w:rsid w:val="00542F08"/>
    <w:rsid w:val="0054315A"/>
    <w:rsid w:val="005433AD"/>
    <w:rsid w:val="0054374D"/>
    <w:rsid w:val="0054397C"/>
    <w:rsid w:val="005440C0"/>
    <w:rsid w:val="005440CF"/>
    <w:rsid w:val="005453AF"/>
    <w:rsid w:val="00546BD1"/>
    <w:rsid w:val="00547858"/>
    <w:rsid w:val="0055004B"/>
    <w:rsid w:val="0055092A"/>
    <w:rsid w:val="00550A23"/>
    <w:rsid w:val="00550FEA"/>
    <w:rsid w:val="005522BE"/>
    <w:rsid w:val="005522CA"/>
    <w:rsid w:val="00552C9A"/>
    <w:rsid w:val="00553114"/>
    <w:rsid w:val="005554FD"/>
    <w:rsid w:val="00555AFC"/>
    <w:rsid w:val="0055609F"/>
    <w:rsid w:val="0055613C"/>
    <w:rsid w:val="00556737"/>
    <w:rsid w:val="00556EBF"/>
    <w:rsid w:val="00557502"/>
    <w:rsid w:val="00560AEB"/>
    <w:rsid w:val="00560DBB"/>
    <w:rsid w:val="005614F9"/>
    <w:rsid w:val="00561E9B"/>
    <w:rsid w:val="005620A0"/>
    <w:rsid w:val="00562E5B"/>
    <w:rsid w:val="0056313A"/>
    <w:rsid w:val="0056393C"/>
    <w:rsid w:val="00564B7C"/>
    <w:rsid w:val="00564C9C"/>
    <w:rsid w:val="0056515D"/>
    <w:rsid w:val="00565567"/>
    <w:rsid w:val="00565B9C"/>
    <w:rsid w:val="00566185"/>
    <w:rsid w:val="00566B7C"/>
    <w:rsid w:val="00567739"/>
    <w:rsid w:val="00570539"/>
    <w:rsid w:val="00570BCD"/>
    <w:rsid w:val="00572B81"/>
    <w:rsid w:val="005737F7"/>
    <w:rsid w:val="005753A0"/>
    <w:rsid w:val="005756F4"/>
    <w:rsid w:val="00575AC2"/>
    <w:rsid w:val="0057675F"/>
    <w:rsid w:val="005779AF"/>
    <w:rsid w:val="0058031B"/>
    <w:rsid w:val="0058274C"/>
    <w:rsid w:val="00582989"/>
    <w:rsid w:val="005835F4"/>
    <w:rsid w:val="005837B4"/>
    <w:rsid w:val="00584BB7"/>
    <w:rsid w:val="00584F78"/>
    <w:rsid w:val="005857EA"/>
    <w:rsid w:val="00587F05"/>
    <w:rsid w:val="00590AFC"/>
    <w:rsid w:val="00590CE6"/>
    <w:rsid w:val="00591C16"/>
    <w:rsid w:val="00593748"/>
    <w:rsid w:val="00593AE0"/>
    <w:rsid w:val="00593D62"/>
    <w:rsid w:val="0059538B"/>
    <w:rsid w:val="005961DA"/>
    <w:rsid w:val="005964DE"/>
    <w:rsid w:val="00597BD0"/>
    <w:rsid w:val="005A0151"/>
    <w:rsid w:val="005A028F"/>
    <w:rsid w:val="005A0EAB"/>
    <w:rsid w:val="005A1654"/>
    <w:rsid w:val="005A19DC"/>
    <w:rsid w:val="005A25A4"/>
    <w:rsid w:val="005A288C"/>
    <w:rsid w:val="005A2C17"/>
    <w:rsid w:val="005A39E6"/>
    <w:rsid w:val="005A43EB"/>
    <w:rsid w:val="005A5C16"/>
    <w:rsid w:val="005A74CE"/>
    <w:rsid w:val="005A76AB"/>
    <w:rsid w:val="005B0062"/>
    <w:rsid w:val="005B02C7"/>
    <w:rsid w:val="005B11AA"/>
    <w:rsid w:val="005B1258"/>
    <w:rsid w:val="005B38A9"/>
    <w:rsid w:val="005B3E9A"/>
    <w:rsid w:val="005B40A6"/>
    <w:rsid w:val="005B4302"/>
    <w:rsid w:val="005B6FF2"/>
    <w:rsid w:val="005B7D5E"/>
    <w:rsid w:val="005C077A"/>
    <w:rsid w:val="005C080D"/>
    <w:rsid w:val="005C0E4D"/>
    <w:rsid w:val="005C1D25"/>
    <w:rsid w:val="005C2E2E"/>
    <w:rsid w:val="005C2F28"/>
    <w:rsid w:val="005C4C2B"/>
    <w:rsid w:val="005C569E"/>
    <w:rsid w:val="005C5D9E"/>
    <w:rsid w:val="005C5DE4"/>
    <w:rsid w:val="005C7E39"/>
    <w:rsid w:val="005D02C5"/>
    <w:rsid w:val="005D15E5"/>
    <w:rsid w:val="005D1C83"/>
    <w:rsid w:val="005D1CFE"/>
    <w:rsid w:val="005D2840"/>
    <w:rsid w:val="005D4791"/>
    <w:rsid w:val="005D73E2"/>
    <w:rsid w:val="005E066E"/>
    <w:rsid w:val="005E07AA"/>
    <w:rsid w:val="005E07F5"/>
    <w:rsid w:val="005E081B"/>
    <w:rsid w:val="005E1C97"/>
    <w:rsid w:val="005E391C"/>
    <w:rsid w:val="005E4697"/>
    <w:rsid w:val="005E63C4"/>
    <w:rsid w:val="005E690E"/>
    <w:rsid w:val="005E6D6F"/>
    <w:rsid w:val="005F13C1"/>
    <w:rsid w:val="005F1D3C"/>
    <w:rsid w:val="005F27C2"/>
    <w:rsid w:val="005F2D31"/>
    <w:rsid w:val="005F447E"/>
    <w:rsid w:val="005F476A"/>
    <w:rsid w:val="005F626E"/>
    <w:rsid w:val="005F632F"/>
    <w:rsid w:val="005F6EC8"/>
    <w:rsid w:val="005F756F"/>
    <w:rsid w:val="005F7AB9"/>
    <w:rsid w:val="00600629"/>
    <w:rsid w:val="00600EB2"/>
    <w:rsid w:val="00600FCA"/>
    <w:rsid w:val="00601502"/>
    <w:rsid w:val="00601842"/>
    <w:rsid w:val="0060626A"/>
    <w:rsid w:val="00606621"/>
    <w:rsid w:val="0060740D"/>
    <w:rsid w:val="00610893"/>
    <w:rsid w:val="0061128F"/>
    <w:rsid w:val="006120CE"/>
    <w:rsid w:val="0061293C"/>
    <w:rsid w:val="00612EE1"/>
    <w:rsid w:val="00614ACB"/>
    <w:rsid w:val="00614BF1"/>
    <w:rsid w:val="00614E36"/>
    <w:rsid w:val="00616244"/>
    <w:rsid w:val="006174AD"/>
    <w:rsid w:val="00617BFD"/>
    <w:rsid w:val="006243EE"/>
    <w:rsid w:val="0062458F"/>
    <w:rsid w:val="00624CAA"/>
    <w:rsid w:val="00625336"/>
    <w:rsid w:val="00625A5A"/>
    <w:rsid w:val="00630E77"/>
    <w:rsid w:val="00631FDD"/>
    <w:rsid w:val="006336A7"/>
    <w:rsid w:val="006347B1"/>
    <w:rsid w:val="006354D9"/>
    <w:rsid w:val="006359D6"/>
    <w:rsid w:val="00635A5A"/>
    <w:rsid w:val="006365D4"/>
    <w:rsid w:val="006374DB"/>
    <w:rsid w:val="00640547"/>
    <w:rsid w:val="0064059B"/>
    <w:rsid w:val="00640DB5"/>
    <w:rsid w:val="00643BA6"/>
    <w:rsid w:val="00643BDC"/>
    <w:rsid w:val="00643F22"/>
    <w:rsid w:val="006444FF"/>
    <w:rsid w:val="0064469D"/>
    <w:rsid w:val="00644DB9"/>
    <w:rsid w:val="00646A8B"/>
    <w:rsid w:val="00653608"/>
    <w:rsid w:val="00653A16"/>
    <w:rsid w:val="00655083"/>
    <w:rsid w:val="006562DA"/>
    <w:rsid w:val="0065674E"/>
    <w:rsid w:val="00656CA5"/>
    <w:rsid w:val="006601AB"/>
    <w:rsid w:val="00660232"/>
    <w:rsid w:val="00663636"/>
    <w:rsid w:val="00666422"/>
    <w:rsid w:val="006714A0"/>
    <w:rsid w:val="00671880"/>
    <w:rsid w:val="00671D53"/>
    <w:rsid w:val="00672E66"/>
    <w:rsid w:val="00673A12"/>
    <w:rsid w:val="00674190"/>
    <w:rsid w:val="006756DA"/>
    <w:rsid w:val="006760E5"/>
    <w:rsid w:val="00676FE6"/>
    <w:rsid w:val="00681388"/>
    <w:rsid w:val="00682181"/>
    <w:rsid w:val="00682A5D"/>
    <w:rsid w:val="00684BAC"/>
    <w:rsid w:val="00685694"/>
    <w:rsid w:val="0068595A"/>
    <w:rsid w:val="00687A36"/>
    <w:rsid w:val="00687AC1"/>
    <w:rsid w:val="006913C2"/>
    <w:rsid w:val="00692140"/>
    <w:rsid w:val="006944AE"/>
    <w:rsid w:val="00696274"/>
    <w:rsid w:val="00696B80"/>
    <w:rsid w:val="00697E6B"/>
    <w:rsid w:val="006A006D"/>
    <w:rsid w:val="006A12EF"/>
    <w:rsid w:val="006A1681"/>
    <w:rsid w:val="006A1FA2"/>
    <w:rsid w:val="006A2419"/>
    <w:rsid w:val="006A29B1"/>
    <w:rsid w:val="006A3705"/>
    <w:rsid w:val="006A3C2D"/>
    <w:rsid w:val="006A3F0A"/>
    <w:rsid w:val="006A4637"/>
    <w:rsid w:val="006A4DB1"/>
    <w:rsid w:val="006A4E73"/>
    <w:rsid w:val="006A59AF"/>
    <w:rsid w:val="006A6EAA"/>
    <w:rsid w:val="006A73C0"/>
    <w:rsid w:val="006A7D49"/>
    <w:rsid w:val="006B0261"/>
    <w:rsid w:val="006B1D5F"/>
    <w:rsid w:val="006B3160"/>
    <w:rsid w:val="006B3705"/>
    <w:rsid w:val="006B38B1"/>
    <w:rsid w:val="006B4663"/>
    <w:rsid w:val="006B47FA"/>
    <w:rsid w:val="006B4F45"/>
    <w:rsid w:val="006B6036"/>
    <w:rsid w:val="006C080B"/>
    <w:rsid w:val="006C22EC"/>
    <w:rsid w:val="006C2F0A"/>
    <w:rsid w:val="006C3327"/>
    <w:rsid w:val="006C336E"/>
    <w:rsid w:val="006C3AE4"/>
    <w:rsid w:val="006C4218"/>
    <w:rsid w:val="006C4F04"/>
    <w:rsid w:val="006C72A2"/>
    <w:rsid w:val="006C78A3"/>
    <w:rsid w:val="006D002D"/>
    <w:rsid w:val="006D0366"/>
    <w:rsid w:val="006D0940"/>
    <w:rsid w:val="006D1893"/>
    <w:rsid w:val="006D204D"/>
    <w:rsid w:val="006D2CD1"/>
    <w:rsid w:val="006D3975"/>
    <w:rsid w:val="006D58AA"/>
    <w:rsid w:val="006D62D2"/>
    <w:rsid w:val="006D6B78"/>
    <w:rsid w:val="006E10C1"/>
    <w:rsid w:val="006E1490"/>
    <w:rsid w:val="006E25F8"/>
    <w:rsid w:val="006E2CB8"/>
    <w:rsid w:val="006E4F1E"/>
    <w:rsid w:val="006E5C66"/>
    <w:rsid w:val="006E7595"/>
    <w:rsid w:val="006F1D36"/>
    <w:rsid w:val="006F1D9B"/>
    <w:rsid w:val="006F1FEA"/>
    <w:rsid w:val="006F267C"/>
    <w:rsid w:val="006F2DC0"/>
    <w:rsid w:val="006F2FC7"/>
    <w:rsid w:val="006F344D"/>
    <w:rsid w:val="006F3C9A"/>
    <w:rsid w:val="00700437"/>
    <w:rsid w:val="00700767"/>
    <w:rsid w:val="00701BA6"/>
    <w:rsid w:val="007024FC"/>
    <w:rsid w:val="007026A0"/>
    <w:rsid w:val="007026CB"/>
    <w:rsid w:val="00702CA0"/>
    <w:rsid w:val="00703088"/>
    <w:rsid w:val="00703825"/>
    <w:rsid w:val="00704575"/>
    <w:rsid w:val="00704715"/>
    <w:rsid w:val="00705656"/>
    <w:rsid w:val="00705FEF"/>
    <w:rsid w:val="00707D55"/>
    <w:rsid w:val="00710576"/>
    <w:rsid w:val="0071120A"/>
    <w:rsid w:val="00711D1D"/>
    <w:rsid w:val="007147F4"/>
    <w:rsid w:val="00714E6A"/>
    <w:rsid w:val="0071729E"/>
    <w:rsid w:val="007178E6"/>
    <w:rsid w:val="00717BC2"/>
    <w:rsid w:val="007202A5"/>
    <w:rsid w:val="007215E2"/>
    <w:rsid w:val="007234EF"/>
    <w:rsid w:val="00723A16"/>
    <w:rsid w:val="00723BC6"/>
    <w:rsid w:val="00724066"/>
    <w:rsid w:val="00724E5A"/>
    <w:rsid w:val="0072559F"/>
    <w:rsid w:val="00725883"/>
    <w:rsid w:val="00727A35"/>
    <w:rsid w:val="00732051"/>
    <w:rsid w:val="00732650"/>
    <w:rsid w:val="007332B6"/>
    <w:rsid w:val="0073521B"/>
    <w:rsid w:val="007361CB"/>
    <w:rsid w:val="007363EA"/>
    <w:rsid w:val="0073649D"/>
    <w:rsid w:val="00736DEC"/>
    <w:rsid w:val="00737061"/>
    <w:rsid w:val="00740A13"/>
    <w:rsid w:val="00740C42"/>
    <w:rsid w:val="007422B0"/>
    <w:rsid w:val="0074566F"/>
    <w:rsid w:val="007456F6"/>
    <w:rsid w:val="00747724"/>
    <w:rsid w:val="00747B92"/>
    <w:rsid w:val="00747D01"/>
    <w:rsid w:val="00750FFD"/>
    <w:rsid w:val="0075231E"/>
    <w:rsid w:val="00752675"/>
    <w:rsid w:val="00752B1D"/>
    <w:rsid w:val="00752BBC"/>
    <w:rsid w:val="007545F9"/>
    <w:rsid w:val="00754A06"/>
    <w:rsid w:val="0075696F"/>
    <w:rsid w:val="007570F6"/>
    <w:rsid w:val="007577F1"/>
    <w:rsid w:val="00757D02"/>
    <w:rsid w:val="00757DCC"/>
    <w:rsid w:val="007621FC"/>
    <w:rsid w:val="00762955"/>
    <w:rsid w:val="007630BE"/>
    <w:rsid w:val="00763172"/>
    <w:rsid w:val="00763E49"/>
    <w:rsid w:val="00763F86"/>
    <w:rsid w:val="00764F1A"/>
    <w:rsid w:val="007669A8"/>
    <w:rsid w:val="0076781A"/>
    <w:rsid w:val="00767CE8"/>
    <w:rsid w:val="00770285"/>
    <w:rsid w:val="00772011"/>
    <w:rsid w:val="00772937"/>
    <w:rsid w:val="007730CA"/>
    <w:rsid w:val="007731E1"/>
    <w:rsid w:val="007743C5"/>
    <w:rsid w:val="00774F61"/>
    <w:rsid w:val="007752B1"/>
    <w:rsid w:val="00775B25"/>
    <w:rsid w:val="00776618"/>
    <w:rsid w:val="007769E5"/>
    <w:rsid w:val="007770FF"/>
    <w:rsid w:val="00780341"/>
    <w:rsid w:val="0078040F"/>
    <w:rsid w:val="0078096F"/>
    <w:rsid w:val="00781E9F"/>
    <w:rsid w:val="00782498"/>
    <w:rsid w:val="007828DA"/>
    <w:rsid w:val="00784BFD"/>
    <w:rsid w:val="00785A24"/>
    <w:rsid w:val="00785A62"/>
    <w:rsid w:val="0079069B"/>
    <w:rsid w:val="00790710"/>
    <w:rsid w:val="007933BB"/>
    <w:rsid w:val="007935AD"/>
    <w:rsid w:val="007939B0"/>
    <w:rsid w:val="0079469C"/>
    <w:rsid w:val="0079512B"/>
    <w:rsid w:val="00795E39"/>
    <w:rsid w:val="00797B24"/>
    <w:rsid w:val="007A1487"/>
    <w:rsid w:val="007A1729"/>
    <w:rsid w:val="007A4209"/>
    <w:rsid w:val="007A6D86"/>
    <w:rsid w:val="007A755D"/>
    <w:rsid w:val="007A7B98"/>
    <w:rsid w:val="007B0860"/>
    <w:rsid w:val="007B276B"/>
    <w:rsid w:val="007B302E"/>
    <w:rsid w:val="007B3656"/>
    <w:rsid w:val="007B6186"/>
    <w:rsid w:val="007B6601"/>
    <w:rsid w:val="007B6EB0"/>
    <w:rsid w:val="007B6F89"/>
    <w:rsid w:val="007B70E9"/>
    <w:rsid w:val="007B725A"/>
    <w:rsid w:val="007C09EC"/>
    <w:rsid w:val="007C11CC"/>
    <w:rsid w:val="007C497D"/>
    <w:rsid w:val="007C4FC0"/>
    <w:rsid w:val="007C5A0A"/>
    <w:rsid w:val="007C5DC6"/>
    <w:rsid w:val="007C6447"/>
    <w:rsid w:val="007C6B9F"/>
    <w:rsid w:val="007C7324"/>
    <w:rsid w:val="007D1297"/>
    <w:rsid w:val="007D1573"/>
    <w:rsid w:val="007D26D7"/>
    <w:rsid w:val="007D326F"/>
    <w:rsid w:val="007D3CAA"/>
    <w:rsid w:val="007D42E6"/>
    <w:rsid w:val="007D44CD"/>
    <w:rsid w:val="007D46F9"/>
    <w:rsid w:val="007D4B4F"/>
    <w:rsid w:val="007D5C05"/>
    <w:rsid w:val="007D60D8"/>
    <w:rsid w:val="007D672E"/>
    <w:rsid w:val="007D6F74"/>
    <w:rsid w:val="007D7362"/>
    <w:rsid w:val="007D78C7"/>
    <w:rsid w:val="007E0ADA"/>
    <w:rsid w:val="007E0F3D"/>
    <w:rsid w:val="007E1CD0"/>
    <w:rsid w:val="007E27C6"/>
    <w:rsid w:val="007E287A"/>
    <w:rsid w:val="007E2FEF"/>
    <w:rsid w:val="007E3A4F"/>
    <w:rsid w:val="007E3BBD"/>
    <w:rsid w:val="007E3E6F"/>
    <w:rsid w:val="007E4C95"/>
    <w:rsid w:val="007E5620"/>
    <w:rsid w:val="007E59E8"/>
    <w:rsid w:val="007E6178"/>
    <w:rsid w:val="007E6AC7"/>
    <w:rsid w:val="007E7FF2"/>
    <w:rsid w:val="007F007F"/>
    <w:rsid w:val="007F061E"/>
    <w:rsid w:val="007F11A6"/>
    <w:rsid w:val="007F3444"/>
    <w:rsid w:val="007F39F1"/>
    <w:rsid w:val="007F3D9C"/>
    <w:rsid w:val="007F45DA"/>
    <w:rsid w:val="007F47E6"/>
    <w:rsid w:val="007F4887"/>
    <w:rsid w:val="007F49A7"/>
    <w:rsid w:val="007F6341"/>
    <w:rsid w:val="007F6597"/>
    <w:rsid w:val="007F739E"/>
    <w:rsid w:val="007F73C2"/>
    <w:rsid w:val="007F76CD"/>
    <w:rsid w:val="0080040C"/>
    <w:rsid w:val="00800A95"/>
    <w:rsid w:val="00801711"/>
    <w:rsid w:val="0080324C"/>
    <w:rsid w:val="00803F1F"/>
    <w:rsid w:val="008045C8"/>
    <w:rsid w:val="00804A8A"/>
    <w:rsid w:val="00805278"/>
    <w:rsid w:val="00805432"/>
    <w:rsid w:val="0080774F"/>
    <w:rsid w:val="00810806"/>
    <w:rsid w:val="00810CB9"/>
    <w:rsid w:val="0081160E"/>
    <w:rsid w:val="008129C3"/>
    <w:rsid w:val="008142C3"/>
    <w:rsid w:val="008149C6"/>
    <w:rsid w:val="00814BD7"/>
    <w:rsid w:val="00815756"/>
    <w:rsid w:val="00815C20"/>
    <w:rsid w:val="0081688E"/>
    <w:rsid w:val="00816DF2"/>
    <w:rsid w:val="008175AB"/>
    <w:rsid w:val="0082016F"/>
    <w:rsid w:val="00821B5B"/>
    <w:rsid w:val="00822364"/>
    <w:rsid w:val="00824963"/>
    <w:rsid w:val="00824D22"/>
    <w:rsid w:val="00826EF5"/>
    <w:rsid w:val="0083164B"/>
    <w:rsid w:val="00831688"/>
    <w:rsid w:val="00831862"/>
    <w:rsid w:val="00833816"/>
    <w:rsid w:val="008339AB"/>
    <w:rsid w:val="00833D25"/>
    <w:rsid w:val="00834477"/>
    <w:rsid w:val="00834BAD"/>
    <w:rsid w:val="00836586"/>
    <w:rsid w:val="00837E2A"/>
    <w:rsid w:val="00840AB7"/>
    <w:rsid w:val="008412EB"/>
    <w:rsid w:val="00841C18"/>
    <w:rsid w:val="00841C83"/>
    <w:rsid w:val="00841D75"/>
    <w:rsid w:val="00842A3F"/>
    <w:rsid w:val="00844012"/>
    <w:rsid w:val="008457D1"/>
    <w:rsid w:val="00845E5E"/>
    <w:rsid w:val="00845FE0"/>
    <w:rsid w:val="00846FE3"/>
    <w:rsid w:val="00850496"/>
    <w:rsid w:val="008508C3"/>
    <w:rsid w:val="008518E3"/>
    <w:rsid w:val="00852570"/>
    <w:rsid w:val="00853210"/>
    <w:rsid w:val="0085388C"/>
    <w:rsid w:val="0085404F"/>
    <w:rsid w:val="00854622"/>
    <w:rsid w:val="00854BE1"/>
    <w:rsid w:val="00855274"/>
    <w:rsid w:val="0085634D"/>
    <w:rsid w:val="00857BF1"/>
    <w:rsid w:val="00860AA6"/>
    <w:rsid w:val="00861952"/>
    <w:rsid w:val="00864003"/>
    <w:rsid w:val="00864DBF"/>
    <w:rsid w:val="008665AE"/>
    <w:rsid w:val="00866C48"/>
    <w:rsid w:val="00866E69"/>
    <w:rsid w:val="00867A2E"/>
    <w:rsid w:val="00870C76"/>
    <w:rsid w:val="008723CB"/>
    <w:rsid w:val="008724A6"/>
    <w:rsid w:val="00872DAF"/>
    <w:rsid w:val="008733C2"/>
    <w:rsid w:val="008741BE"/>
    <w:rsid w:val="00875CA0"/>
    <w:rsid w:val="00876314"/>
    <w:rsid w:val="008764A8"/>
    <w:rsid w:val="00876CF2"/>
    <w:rsid w:val="00876D98"/>
    <w:rsid w:val="00877643"/>
    <w:rsid w:val="00877AF3"/>
    <w:rsid w:val="008819FB"/>
    <w:rsid w:val="0088209B"/>
    <w:rsid w:val="00882818"/>
    <w:rsid w:val="00882A65"/>
    <w:rsid w:val="0088323B"/>
    <w:rsid w:val="00883B85"/>
    <w:rsid w:val="008850DE"/>
    <w:rsid w:val="00886038"/>
    <w:rsid w:val="008864C7"/>
    <w:rsid w:val="00886B91"/>
    <w:rsid w:val="00887CA8"/>
    <w:rsid w:val="00890ADA"/>
    <w:rsid w:val="00891FBD"/>
    <w:rsid w:val="00892A49"/>
    <w:rsid w:val="00892B17"/>
    <w:rsid w:val="008930A0"/>
    <w:rsid w:val="0089348E"/>
    <w:rsid w:val="00893FD6"/>
    <w:rsid w:val="00894FFB"/>
    <w:rsid w:val="0089505B"/>
    <w:rsid w:val="008952D6"/>
    <w:rsid w:val="00895C6A"/>
    <w:rsid w:val="00896800"/>
    <w:rsid w:val="008975D8"/>
    <w:rsid w:val="008976C3"/>
    <w:rsid w:val="0089787E"/>
    <w:rsid w:val="008A0765"/>
    <w:rsid w:val="008A19FD"/>
    <w:rsid w:val="008A369B"/>
    <w:rsid w:val="008A45D2"/>
    <w:rsid w:val="008A46DE"/>
    <w:rsid w:val="008A4F18"/>
    <w:rsid w:val="008B0A90"/>
    <w:rsid w:val="008B0EC1"/>
    <w:rsid w:val="008B32AF"/>
    <w:rsid w:val="008B34B7"/>
    <w:rsid w:val="008B395D"/>
    <w:rsid w:val="008B3C42"/>
    <w:rsid w:val="008B4042"/>
    <w:rsid w:val="008B4844"/>
    <w:rsid w:val="008B5278"/>
    <w:rsid w:val="008B5F5A"/>
    <w:rsid w:val="008B6870"/>
    <w:rsid w:val="008B6884"/>
    <w:rsid w:val="008C0A05"/>
    <w:rsid w:val="008C2727"/>
    <w:rsid w:val="008C2E13"/>
    <w:rsid w:val="008C3BCC"/>
    <w:rsid w:val="008C3E42"/>
    <w:rsid w:val="008C4B37"/>
    <w:rsid w:val="008C536B"/>
    <w:rsid w:val="008C5B87"/>
    <w:rsid w:val="008C6A84"/>
    <w:rsid w:val="008D218F"/>
    <w:rsid w:val="008D2422"/>
    <w:rsid w:val="008D3556"/>
    <w:rsid w:val="008D38A3"/>
    <w:rsid w:val="008D426F"/>
    <w:rsid w:val="008D42D4"/>
    <w:rsid w:val="008D4734"/>
    <w:rsid w:val="008D4CA8"/>
    <w:rsid w:val="008D5C03"/>
    <w:rsid w:val="008D6114"/>
    <w:rsid w:val="008D6543"/>
    <w:rsid w:val="008D6709"/>
    <w:rsid w:val="008D77D6"/>
    <w:rsid w:val="008E0C55"/>
    <w:rsid w:val="008E0FCE"/>
    <w:rsid w:val="008E1A19"/>
    <w:rsid w:val="008E1AE1"/>
    <w:rsid w:val="008E1BBE"/>
    <w:rsid w:val="008E392A"/>
    <w:rsid w:val="008E39F1"/>
    <w:rsid w:val="008E4884"/>
    <w:rsid w:val="008E6B7D"/>
    <w:rsid w:val="008E72F2"/>
    <w:rsid w:val="008E7838"/>
    <w:rsid w:val="008F12C4"/>
    <w:rsid w:val="008F157F"/>
    <w:rsid w:val="008F1B40"/>
    <w:rsid w:val="008F2900"/>
    <w:rsid w:val="008F49F5"/>
    <w:rsid w:val="008F603E"/>
    <w:rsid w:val="009004CA"/>
    <w:rsid w:val="00900971"/>
    <w:rsid w:val="00900FA7"/>
    <w:rsid w:val="00901140"/>
    <w:rsid w:val="00901264"/>
    <w:rsid w:val="009022EC"/>
    <w:rsid w:val="0090318B"/>
    <w:rsid w:val="009039B7"/>
    <w:rsid w:val="00904014"/>
    <w:rsid w:val="0090478D"/>
    <w:rsid w:val="009052D1"/>
    <w:rsid w:val="009053BA"/>
    <w:rsid w:val="00905597"/>
    <w:rsid w:val="00906970"/>
    <w:rsid w:val="00906BFE"/>
    <w:rsid w:val="00907041"/>
    <w:rsid w:val="00907539"/>
    <w:rsid w:val="0090796B"/>
    <w:rsid w:val="009104FB"/>
    <w:rsid w:val="0091063E"/>
    <w:rsid w:val="00911C00"/>
    <w:rsid w:val="00912348"/>
    <w:rsid w:val="00912515"/>
    <w:rsid w:val="009136D1"/>
    <w:rsid w:val="00914677"/>
    <w:rsid w:val="009158DD"/>
    <w:rsid w:val="00916098"/>
    <w:rsid w:val="00916D45"/>
    <w:rsid w:val="009177C6"/>
    <w:rsid w:val="00922B38"/>
    <w:rsid w:val="00922F0F"/>
    <w:rsid w:val="00923CA3"/>
    <w:rsid w:val="009243C0"/>
    <w:rsid w:val="00925BD9"/>
    <w:rsid w:val="00926F6F"/>
    <w:rsid w:val="00927E35"/>
    <w:rsid w:val="009313BD"/>
    <w:rsid w:val="009325F5"/>
    <w:rsid w:val="00932EBB"/>
    <w:rsid w:val="00933BD5"/>
    <w:rsid w:val="00934017"/>
    <w:rsid w:val="00935FEE"/>
    <w:rsid w:val="009368D1"/>
    <w:rsid w:val="00937C18"/>
    <w:rsid w:val="009404EE"/>
    <w:rsid w:val="00940615"/>
    <w:rsid w:val="00943105"/>
    <w:rsid w:val="00943340"/>
    <w:rsid w:val="009435DB"/>
    <w:rsid w:val="00945733"/>
    <w:rsid w:val="00945A9C"/>
    <w:rsid w:val="00946DDF"/>
    <w:rsid w:val="009508E5"/>
    <w:rsid w:val="00950AE6"/>
    <w:rsid w:val="00952093"/>
    <w:rsid w:val="00952237"/>
    <w:rsid w:val="009525FA"/>
    <w:rsid w:val="00953077"/>
    <w:rsid w:val="00954675"/>
    <w:rsid w:val="00956893"/>
    <w:rsid w:val="00957FA7"/>
    <w:rsid w:val="0096090D"/>
    <w:rsid w:val="00960BB7"/>
    <w:rsid w:val="0096157E"/>
    <w:rsid w:val="009617A3"/>
    <w:rsid w:val="00962654"/>
    <w:rsid w:val="0096304E"/>
    <w:rsid w:val="009632A1"/>
    <w:rsid w:val="00965BE4"/>
    <w:rsid w:val="00966CA9"/>
    <w:rsid w:val="00967573"/>
    <w:rsid w:val="00970D00"/>
    <w:rsid w:val="00971897"/>
    <w:rsid w:val="00972B49"/>
    <w:rsid w:val="00972B5B"/>
    <w:rsid w:val="00972E96"/>
    <w:rsid w:val="009739E6"/>
    <w:rsid w:val="00974004"/>
    <w:rsid w:val="0097459C"/>
    <w:rsid w:val="00974B02"/>
    <w:rsid w:val="00974C78"/>
    <w:rsid w:val="00974FF4"/>
    <w:rsid w:val="009758C4"/>
    <w:rsid w:val="00975D7E"/>
    <w:rsid w:val="00977132"/>
    <w:rsid w:val="009774A4"/>
    <w:rsid w:val="00977BA8"/>
    <w:rsid w:val="0098067F"/>
    <w:rsid w:val="009808B4"/>
    <w:rsid w:val="0098103A"/>
    <w:rsid w:val="009828DC"/>
    <w:rsid w:val="00982DC8"/>
    <w:rsid w:val="00984672"/>
    <w:rsid w:val="00984E84"/>
    <w:rsid w:val="0098549D"/>
    <w:rsid w:val="00986D24"/>
    <w:rsid w:val="00986EA0"/>
    <w:rsid w:val="00986F6B"/>
    <w:rsid w:val="00987FD0"/>
    <w:rsid w:val="00991661"/>
    <w:rsid w:val="0099166A"/>
    <w:rsid w:val="00992B6B"/>
    <w:rsid w:val="00992C36"/>
    <w:rsid w:val="00993048"/>
    <w:rsid w:val="00993F2D"/>
    <w:rsid w:val="009962F3"/>
    <w:rsid w:val="00997BF8"/>
    <w:rsid w:val="00997D15"/>
    <w:rsid w:val="009A1273"/>
    <w:rsid w:val="009A17A0"/>
    <w:rsid w:val="009A219C"/>
    <w:rsid w:val="009A227E"/>
    <w:rsid w:val="009A2B87"/>
    <w:rsid w:val="009A4478"/>
    <w:rsid w:val="009A4682"/>
    <w:rsid w:val="009A57FD"/>
    <w:rsid w:val="009A5E82"/>
    <w:rsid w:val="009A6C9A"/>
    <w:rsid w:val="009A700E"/>
    <w:rsid w:val="009B029D"/>
    <w:rsid w:val="009B0939"/>
    <w:rsid w:val="009B26B8"/>
    <w:rsid w:val="009B3879"/>
    <w:rsid w:val="009B52E8"/>
    <w:rsid w:val="009B5A79"/>
    <w:rsid w:val="009B5C74"/>
    <w:rsid w:val="009B5C98"/>
    <w:rsid w:val="009B7459"/>
    <w:rsid w:val="009B7EEB"/>
    <w:rsid w:val="009C013D"/>
    <w:rsid w:val="009C113E"/>
    <w:rsid w:val="009C4443"/>
    <w:rsid w:val="009C4AAC"/>
    <w:rsid w:val="009C5385"/>
    <w:rsid w:val="009C590C"/>
    <w:rsid w:val="009C5DD1"/>
    <w:rsid w:val="009C60BD"/>
    <w:rsid w:val="009C72B8"/>
    <w:rsid w:val="009D3AF3"/>
    <w:rsid w:val="009D3BB3"/>
    <w:rsid w:val="009D4BFC"/>
    <w:rsid w:val="009D6207"/>
    <w:rsid w:val="009D7193"/>
    <w:rsid w:val="009D758C"/>
    <w:rsid w:val="009E0077"/>
    <w:rsid w:val="009E199D"/>
    <w:rsid w:val="009E1AC7"/>
    <w:rsid w:val="009E1BB6"/>
    <w:rsid w:val="009E27B7"/>
    <w:rsid w:val="009E27E9"/>
    <w:rsid w:val="009E3C08"/>
    <w:rsid w:val="009E53FC"/>
    <w:rsid w:val="009E57C9"/>
    <w:rsid w:val="009E66A1"/>
    <w:rsid w:val="009E6ED7"/>
    <w:rsid w:val="009E6FE0"/>
    <w:rsid w:val="009E7D8C"/>
    <w:rsid w:val="009F0463"/>
    <w:rsid w:val="009F0C48"/>
    <w:rsid w:val="009F0E63"/>
    <w:rsid w:val="009F139A"/>
    <w:rsid w:val="009F259E"/>
    <w:rsid w:val="009F29EA"/>
    <w:rsid w:val="009F3A86"/>
    <w:rsid w:val="009F4FCB"/>
    <w:rsid w:val="009F5A8F"/>
    <w:rsid w:val="009F67A4"/>
    <w:rsid w:val="009F6B65"/>
    <w:rsid w:val="009F6B89"/>
    <w:rsid w:val="00A0036B"/>
    <w:rsid w:val="00A0089E"/>
    <w:rsid w:val="00A00CCA"/>
    <w:rsid w:val="00A03142"/>
    <w:rsid w:val="00A04433"/>
    <w:rsid w:val="00A0637A"/>
    <w:rsid w:val="00A07A99"/>
    <w:rsid w:val="00A10B0D"/>
    <w:rsid w:val="00A10D47"/>
    <w:rsid w:val="00A10E63"/>
    <w:rsid w:val="00A11FA0"/>
    <w:rsid w:val="00A1218E"/>
    <w:rsid w:val="00A12ECF"/>
    <w:rsid w:val="00A13A42"/>
    <w:rsid w:val="00A14491"/>
    <w:rsid w:val="00A147CD"/>
    <w:rsid w:val="00A15BD8"/>
    <w:rsid w:val="00A160AB"/>
    <w:rsid w:val="00A163FC"/>
    <w:rsid w:val="00A2038E"/>
    <w:rsid w:val="00A20B4A"/>
    <w:rsid w:val="00A211FE"/>
    <w:rsid w:val="00A22D1B"/>
    <w:rsid w:val="00A24011"/>
    <w:rsid w:val="00A24314"/>
    <w:rsid w:val="00A245CA"/>
    <w:rsid w:val="00A2525E"/>
    <w:rsid w:val="00A2561B"/>
    <w:rsid w:val="00A25E16"/>
    <w:rsid w:val="00A26A61"/>
    <w:rsid w:val="00A26E44"/>
    <w:rsid w:val="00A26FC4"/>
    <w:rsid w:val="00A3005D"/>
    <w:rsid w:val="00A32CCF"/>
    <w:rsid w:val="00A33314"/>
    <w:rsid w:val="00A3477D"/>
    <w:rsid w:val="00A34C6A"/>
    <w:rsid w:val="00A34EE8"/>
    <w:rsid w:val="00A35607"/>
    <w:rsid w:val="00A36ABA"/>
    <w:rsid w:val="00A375D1"/>
    <w:rsid w:val="00A41B82"/>
    <w:rsid w:val="00A43433"/>
    <w:rsid w:val="00A451A8"/>
    <w:rsid w:val="00A453F7"/>
    <w:rsid w:val="00A50C39"/>
    <w:rsid w:val="00A51050"/>
    <w:rsid w:val="00A5181B"/>
    <w:rsid w:val="00A5183B"/>
    <w:rsid w:val="00A51E90"/>
    <w:rsid w:val="00A52AF1"/>
    <w:rsid w:val="00A52EC1"/>
    <w:rsid w:val="00A5446A"/>
    <w:rsid w:val="00A54E61"/>
    <w:rsid w:val="00A54F40"/>
    <w:rsid w:val="00A55C6B"/>
    <w:rsid w:val="00A5663A"/>
    <w:rsid w:val="00A56683"/>
    <w:rsid w:val="00A57074"/>
    <w:rsid w:val="00A5722F"/>
    <w:rsid w:val="00A57D1B"/>
    <w:rsid w:val="00A608EB"/>
    <w:rsid w:val="00A609EC"/>
    <w:rsid w:val="00A60E72"/>
    <w:rsid w:val="00A61344"/>
    <w:rsid w:val="00A61A37"/>
    <w:rsid w:val="00A62422"/>
    <w:rsid w:val="00A62817"/>
    <w:rsid w:val="00A63062"/>
    <w:rsid w:val="00A636EC"/>
    <w:rsid w:val="00A64860"/>
    <w:rsid w:val="00A65206"/>
    <w:rsid w:val="00A6733B"/>
    <w:rsid w:val="00A67905"/>
    <w:rsid w:val="00A72D6E"/>
    <w:rsid w:val="00A74F9C"/>
    <w:rsid w:val="00A75124"/>
    <w:rsid w:val="00A77342"/>
    <w:rsid w:val="00A7741B"/>
    <w:rsid w:val="00A77BD6"/>
    <w:rsid w:val="00A80338"/>
    <w:rsid w:val="00A816DD"/>
    <w:rsid w:val="00A81F46"/>
    <w:rsid w:val="00A82573"/>
    <w:rsid w:val="00A83941"/>
    <w:rsid w:val="00A8521C"/>
    <w:rsid w:val="00A867E2"/>
    <w:rsid w:val="00A87CC4"/>
    <w:rsid w:val="00A87CF6"/>
    <w:rsid w:val="00A87D6A"/>
    <w:rsid w:val="00A902A8"/>
    <w:rsid w:val="00A9157F"/>
    <w:rsid w:val="00A91C91"/>
    <w:rsid w:val="00A94392"/>
    <w:rsid w:val="00A957C4"/>
    <w:rsid w:val="00A9608E"/>
    <w:rsid w:val="00A970C0"/>
    <w:rsid w:val="00AA045B"/>
    <w:rsid w:val="00AA0716"/>
    <w:rsid w:val="00AA146B"/>
    <w:rsid w:val="00AA1F91"/>
    <w:rsid w:val="00AA2028"/>
    <w:rsid w:val="00AA2043"/>
    <w:rsid w:val="00AA28B3"/>
    <w:rsid w:val="00AA2C2F"/>
    <w:rsid w:val="00AA3280"/>
    <w:rsid w:val="00AA4251"/>
    <w:rsid w:val="00AA5933"/>
    <w:rsid w:val="00AA5F1C"/>
    <w:rsid w:val="00AA75D4"/>
    <w:rsid w:val="00AB0589"/>
    <w:rsid w:val="00AB072E"/>
    <w:rsid w:val="00AB1CBE"/>
    <w:rsid w:val="00AB2CA4"/>
    <w:rsid w:val="00AB2F44"/>
    <w:rsid w:val="00AB3065"/>
    <w:rsid w:val="00AB44BE"/>
    <w:rsid w:val="00AB502D"/>
    <w:rsid w:val="00AB50CA"/>
    <w:rsid w:val="00AC04A7"/>
    <w:rsid w:val="00AC0ADA"/>
    <w:rsid w:val="00AC1308"/>
    <w:rsid w:val="00AC1908"/>
    <w:rsid w:val="00AC1CBC"/>
    <w:rsid w:val="00AC1D8B"/>
    <w:rsid w:val="00AC323D"/>
    <w:rsid w:val="00AC3D38"/>
    <w:rsid w:val="00AC4239"/>
    <w:rsid w:val="00AC423E"/>
    <w:rsid w:val="00AC5DC9"/>
    <w:rsid w:val="00AC7E00"/>
    <w:rsid w:val="00AD1690"/>
    <w:rsid w:val="00AD2129"/>
    <w:rsid w:val="00AD2672"/>
    <w:rsid w:val="00AD2D01"/>
    <w:rsid w:val="00AD332A"/>
    <w:rsid w:val="00AD4A24"/>
    <w:rsid w:val="00AD5B55"/>
    <w:rsid w:val="00AD5CBE"/>
    <w:rsid w:val="00AD789B"/>
    <w:rsid w:val="00AE1B0C"/>
    <w:rsid w:val="00AE21EF"/>
    <w:rsid w:val="00AE4CE7"/>
    <w:rsid w:val="00AE4F71"/>
    <w:rsid w:val="00AE5541"/>
    <w:rsid w:val="00AE6A7C"/>
    <w:rsid w:val="00AE6AB6"/>
    <w:rsid w:val="00AE6CFB"/>
    <w:rsid w:val="00AE7552"/>
    <w:rsid w:val="00AE7A2E"/>
    <w:rsid w:val="00AF186F"/>
    <w:rsid w:val="00AF1D73"/>
    <w:rsid w:val="00AF3296"/>
    <w:rsid w:val="00AF3D57"/>
    <w:rsid w:val="00AF49FC"/>
    <w:rsid w:val="00AF5592"/>
    <w:rsid w:val="00AF58E5"/>
    <w:rsid w:val="00AF5FA3"/>
    <w:rsid w:val="00AF77C4"/>
    <w:rsid w:val="00AF7BF4"/>
    <w:rsid w:val="00B00BFB"/>
    <w:rsid w:val="00B030FF"/>
    <w:rsid w:val="00B040A0"/>
    <w:rsid w:val="00B07FC5"/>
    <w:rsid w:val="00B118DA"/>
    <w:rsid w:val="00B11AB0"/>
    <w:rsid w:val="00B129D1"/>
    <w:rsid w:val="00B12D51"/>
    <w:rsid w:val="00B13B13"/>
    <w:rsid w:val="00B13CFE"/>
    <w:rsid w:val="00B169C3"/>
    <w:rsid w:val="00B171FE"/>
    <w:rsid w:val="00B174C9"/>
    <w:rsid w:val="00B20C8D"/>
    <w:rsid w:val="00B20E71"/>
    <w:rsid w:val="00B21996"/>
    <w:rsid w:val="00B226BD"/>
    <w:rsid w:val="00B24563"/>
    <w:rsid w:val="00B24B43"/>
    <w:rsid w:val="00B30821"/>
    <w:rsid w:val="00B31298"/>
    <w:rsid w:val="00B31316"/>
    <w:rsid w:val="00B314D0"/>
    <w:rsid w:val="00B33CB5"/>
    <w:rsid w:val="00B33EDF"/>
    <w:rsid w:val="00B358C3"/>
    <w:rsid w:val="00B35E81"/>
    <w:rsid w:val="00B3604E"/>
    <w:rsid w:val="00B372A8"/>
    <w:rsid w:val="00B40F0D"/>
    <w:rsid w:val="00B416D9"/>
    <w:rsid w:val="00B425D0"/>
    <w:rsid w:val="00B43E64"/>
    <w:rsid w:val="00B4442F"/>
    <w:rsid w:val="00B45250"/>
    <w:rsid w:val="00B472B7"/>
    <w:rsid w:val="00B50B20"/>
    <w:rsid w:val="00B50BE7"/>
    <w:rsid w:val="00B510F4"/>
    <w:rsid w:val="00B539BF"/>
    <w:rsid w:val="00B543E2"/>
    <w:rsid w:val="00B55307"/>
    <w:rsid w:val="00B55E74"/>
    <w:rsid w:val="00B56566"/>
    <w:rsid w:val="00B57020"/>
    <w:rsid w:val="00B603C6"/>
    <w:rsid w:val="00B606ED"/>
    <w:rsid w:val="00B6107E"/>
    <w:rsid w:val="00B61532"/>
    <w:rsid w:val="00B638C6"/>
    <w:rsid w:val="00B6487A"/>
    <w:rsid w:val="00B64C77"/>
    <w:rsid w:val="00B65726"/>
    <w:rsid w:val="00B6642F"/>
    <w:rsid w:val="00B66D08"/>
    <w:rsid w:val="00B66DD2"/>
    <w:rsid w:val="00B67A71"/>
    <w:rsid w:val="00B70189"/>
    <w:rsid w:val="00B70550"/>
    <w:rsid w:val="00B71E6F"/>
    <w:rsid w:val="00B73FE4"/>
    <w:rsid w:val="00B744FB"/>
    <w:rsid w:val="00B745D0"/>
    <w:rsid w:val="00B76853"/>
    <w:rsid w:val="00B76A5A"/>
    <w:rsid w:val="00B77413"/>
    <w:rsid w:val="00B77977"/>
    <w:rsid w:val="00B8072B"/>
    <w:rsid w:val="00B81557"/>
    <w:rsid w:val="00B817DE"/>
    <w:rsid w:val="00B81854"/>
    <w:rsid w:val="00B82777"/>
    <w:rsid w:val="00B827E4"/>
    <w:rsid w:val="00B82980"/>
    <w:rsid w:val="00B83660"/>
    <w:rsid w:val="00B84956"/>
    <w:rsid w:val="00B8597D"/>
    <w:rsid w:val="00B8717E"/>
    <w:rsid w:val="00B8778A"/>
    <w:rsid w:val="00B87909"/>
    <w:rsid w:val="00B87C81"/>
    <w:rsid w:val="00B90324"/>
    <w:rsid w:val="00B910B7"/>
    <w:rsid w:val="00B9155F"/>
    <w:rsid w:val="00B916BB"/>
    <w:rsid w:val="00B918A8"/>
    <w:rsid w:val="00B9350D"/>
    <w:rsid w:val="00B95B98"/>
    <w:rsid w:val="00B9604B"/>
    <w:rsid w:val="00B963FC"/>
    <w:rsid w:val="00B96F9F"/>
    <w:rsid w:val="00B97816"/>
    <w:rsid w:val="00B97DD1"/>
    <w:rsid w:val="00BA01EF"/>
    <w:rsid w:val="00BA05BE"/>
    <w:rsid w:val="00BA08E0"/>
    <w:rsid w:val="00BA102E"/>
    <w:rsid w:val="00BA2B5A"/>
    <w:rsid w:val="00BA2FA4"/>
    <w:rsid w:val="00BA359B"/>
    <w:rsid w:val="00BA3D61"/>
    <w:rsid w:val="00BA3F3D"/>
    <w:rsid w:val="00BA45CA"/>
    <w:rsid w:val="00BA4724"/>
    <w:rsid w:val="00BA5047"/>
    <w:rsid w:val="00BA7938"/>
    <w:rsid w:val="00BB10EA"/>
    <w:rsid w:val="00BB15FB"/>
    <w:rsid w:val="00BB2C26"/>
    <w:rsid w:val="00BB3B52"/>
    <w:rsid w:val="00BB3FC6"/>
    <w:rsid w:val="00BB422B"/>
    <w:rsid w:val="00BB589D"/>
    <w:rsid w:val="00BB6891"/>
    <w:rsid w:val="00BB7546"/>
    <w:rsid w:val="00BC0478"/>
    <w:rsid w:val="00BC23BB"/>
    <w:rsid w:val="00BC362F"/>
    <w:rsid w:val="00BC36E5"/>
    <w:rsid w:val="00BC47D1"/>
    <w:rsid w:val="00BC5CE1"/>
    <w:rsid w:val="00BC680F"/>
    <w:rsid w:val="00BD041F"/>
    <w:rsid w:val="00BD0B99"/>
    <w:rsid w:val="00BD17DF"/>
    <w:rsid w:val="00BD191E"/>
    <w:rsid w:val="00BD258F"/>
    <w:rsid w:val="00BD7718"/>
    <w:rsid w:val="00BE0064"/>
    <w:rsid w:val="00BE0306"/>
    <w:rsid w:val="00BE06EB"/>
    <w:rsid w:val="00BE1378"/>
    <w:rsid w:val="00BE2F92"/>
    <w:rsid w:val="00BE32D0"/>
    <w:rsid w:val="00BE391D"/>
    <w:rsid w:val="00BE3C6A"/>
    <w:rsid w:val="00BE4B9A"/>
    <w:rsid w:val="00BE5227"/>
    <w:rsid w:val="00BE6E33"/>
    <w:rsid w:val="00BE7977"/>
    <w:rsid w:val="00BE7EA4"/>
    <w:rsid w:val="00BF01E0"/>
    <w:rsid w:val="00BF02AC"/>
    <w:rsid w:val="00BF0E26"/>
    <w:rsid w:val="00BF12F7"/>
    <w:rsid w:val="00BF17A8"/>
    <w:rsid w:val="00BF2806"/>
    <w:rsid w:val="00BF30C7"/>
    <w:rsid w:val="00BF3319"/>
    <w:rsid w:val="00BF3396"/>
    <w:rsid w:val="00BF53A6"/>
    <w:rsid w:val="00BF6112"/>
    <w:rsid w:val="00BF6C1E"/>
    <w:rsid w:val="00BF757D"/>
    <w:rsid w:val="00BF7F90"/>
    <w:rsid w:val="00C00DC7"/>
    <w:rsid w:val="00C00FFC"/>
    <w:rsid w:val="00C0203F"/>
    <w:rsid w:val="00C04322"/>
    <w:rsid w:val="00C04715"/>
    <w:rsid w:val="00C05011"/>
    <w:rsid w:val="00C0556F"/>
    <w:rsid w:val="00C05756"/>
    <w:rsid w:val="00C0644E"/>
    <w:rsid w:val="00C06E79"/>
    <w:rsid w:val="00C079F0"/>
    <w:rsid w:val="00C12882"/>
    <w:rsid w:val="00C136F8"/>
    <w:rsid w:val="00C15FAE"/>
    <w:rsid w:val="00C178BC"/>
    <w:rsid w:val="00C21130"/>
    <w:rsid w:val="00C2143D"/>
    <w:rsid w:val="00C21D53"/>
    <w:rsid w:val="00C2339A"/>
    <w:rsid w:val="00C236CD"/>
    <w:rsid w:val="00C23BF5"/>
    <w:rsid w:val="00C247FF"/>
    <w:rsid w:val="00C24AEF"/>
    <w:rsid w:val="00C24B32"/>
    <w:rsid w:val="00C2509A"/>
    <w:rsid w:val="00C251A5"/>
    <w:rsid w:val="00C25EF3"/>
    <w:rsid w:val="00C26CA4"/>
    <w:rsid w:val="00C26FF3"/>
    <w:rsid w:val="00C27880"/>
    <w:rsid w:val="00C279A4"/>
    <w:rsid w:val="00C27D0E"/>
    <w:rsid w:val="00C27D3B"/>
    <w:rsid w:val="00C27DDC"/>
    <w:rsid w:val="00C30693"/>
    <w:rsid w:val="00C30F49"/>
    <w:rsid w:val="00C3106A"/>
    <w:rsid w:val="00C314D3"/>
    <w:rsid w:val="00C322A4"/>
    <w:rsid w:val="00C330FA"/>
    <w:rsid w:val="00C33798"/>
    <w:rsid w:val="00C34D9C"/>
    <w:rsid w:val="00C35072"/>
    <w:rsid w:val="00C351C5"/>
    <w:rsid w:val="00C35869"/>
    <w:rsid w:val="00C35973"/>
    <w:rsid w:val="00C36865"/>
    <w:rsid w:val="00C373A6"/>
    <w:rsid w:val="00C37913"/>
    <w:rsid w:val="00C405F8"/>
    <w:rsid w:val="00C40B38"/>
    <w:rsid w:val="00C418E4"/>
    <w:rsid w:val="00C41FA0"/>
    <w:rsid w:val="00C427EC"/>
    <w:rsid w:val="00C42D88"/>
    <w:rsid w:val="00C43228"/>
    <w:rsid w:val="00C44447"/>
    <w:rsid w:val="00C46300"/>
    <w:rsid w:val="00C46931"/>
    <w:rsid w:val="00C47C93"/>
    <w:rsid w:val="00C52075"/>
    <w:rsid w:val="00C54931"/>
    <w:rsid w:val="00C54D47"/>
    <w:rsid w:val="00C54FEF"/>
    <w:rsid w:val="00C552BA"/>
    <w:rsid w:val="00C554DF"/>
    <w:rsid w:val="00C55EA4"/>
    <w:rsid w:val="00C578F4"/>
    <w:rsid w:val="00C600B4"/>
    <w:rsid w:val="00C60545"/>
    <w:rsid w:val="00C61C3E"/>
    <w:rsid w:val="00C626CA"/>
    <w:rsid w:val="00C63396"/>
    <w:rsid w:val="00C639E2"/>
    <w:rsid w:val="00C6458C"/>
    <w:rsid w:val="00C64C58"/>
    <w:rsid w:val="00C651AC"/>
    <w:rsid w:val="00C66034"/>
    <w:rsid w:val="00C67532"/>
    <w:rsid w:val="00C7008B"/>
    <w:rsid w:val="00C7190A"/>
    <w:rsid w:val="00C71FA7"/>
    <w:rsid w:val="00C71FBB"/>
    <w:rsid w:val="00C72AA4"/>
    <w:rsid w:val="00C7494E"/>
    <w:rsid w:val="00C762F9"/>
    <w:rsid w:val="00C76CB9"/>
    <w:rsid w:val="00C80AF5"/>
    <w:rsid w:val="00C80DAE"/>
    <w:rsid w:val="00C81382"/>
    <w:rsid w:val="00C83327"/>
    <w:rsid w:val="00C83652"/>
    <w:rsid w:val="00C83D20"/>
    <w:rsid w:val="00C847EE"/>
    <w:rsid w:val="00C849D0"/>
    <w:rsid w:val="00C84D00"/>
    <w:rsid w:val="00C8544F"/>
    <w:rsid w:val="00C85D41"/>
    <w:rsid w:val="00C860FB"/>
    <w:rsid w:val="00C86409"/>
    <w:rsid w:val="00C87A06"/>
    <w:rsid w:val="00C903CC"/>
    <w:rsid w:val="00C90A1A"/>
    <w:rsid w:val="00C90D89"/>
    <w:rsid w:val="00C9282F"/>
    <w:rsid w:val="00C92D69"/>
    <w:rsid w:val="00C94DE2"/>
    <w:rsid w:val="00C94E82"/>
    <w:rsid w:val="00C954EE"/>
    <w:rsid w:val="00C95F4D"/>
    <w:rsid w:val="00C96895"/>
    <w:rsid w:val="00C97EC4"/>
    <w:rsid w:val="00CA0AFC"/>
    <w:rsid w:val="00CA0C23"/>
    <w:rsid w:val="00CA0EAE"/>
    <w:rsid w:val="00CA1008"/>
    <w:rsid w:val="00CA11C7"/>
    <w:rsid w:val="00CA1A04"/>
    <w:rsid w:val="00CA225F"/>
    <w:rsid w:val="00CA24F2"/>
    <w:rsid w:val="00CA312C"/>
    <w:rsid w:val="00CA4094"/>
    <w:rsid w:val="00CA436F"/>
    <w:rsid w:val="00CA568A"/>
    <w:rsid w:val="00CA5C8B"/>
    <w:rsid w:val="00CA6ACB"/>
    <w:rsid w:val="00CA6BA5"/>
    <w:rsid w:val="00CA7C66"/>
    <w:rsid w:val="00CA7FC9"/>
    <w:rsid w:val="00CB0BEB"/>
    <w:rsid w:val="00CB1495"/>
    <w:rsid w:val="00CB162E"/>
    <w:rsid w:val="00CB2D8B"/>
    <w:rsid w:val="00CB3720"/>
    <w:rsid w:val="00CB47AA"/>
    <w:rsid w:val="00CB4C55"/>
    <w:rsid w:val="00CB55FA"/>
    <w:rsid w:val="00CB604C"/>
    <w:rsid w:val="00CB6A92"/>
    <w:rsid w:val="00CB7A49"/>
    <w:rsid w:val="00CC0B1D"/>
    <w:rsid w:val="00CC107E"/>
    <w:rsid w:val="00CC131A"/>
    <w:rsid w:val="00CC1794"/>
    <w:rsid w:val="00CC2C0E"/>
    <w:rsid w:val="00CC2FB5"/>
    <w:rsid w:val="00CC49FC"/>
    <w:rsid w:val="00CC50D8"/>
    <w:rsid w:val="00CC56EE"/>
    <w:rsid w:val="00CC5B12"/>
    <w:rsid w:val="00CC6BC2"/>
    <w:rsid w:val="00CC6BF1"/>
    <w:rsid w:val="00CC7E3A"/>
    <w:rsid w:val="00CD0090"/>
    <w:rsid w:val="00CD1EA1"/>
    <w:rsid w:val="00CD41D2"/>
    <w:rsid w:val="00CD42DF"/>
    <w:rsid w:val="00CD5D22"/>
    <w:rsid w:val="00CD73DD"/>
    <w:rsid w:val="00CD7C6B"/>
    <w:rsid w:val="00CE196A"/>
    <w:rsid w:val="00CE2704"/>
    <w:rsid w:val="00CE35A9"/>
    <w:rsid w:val="00CE38A1"/>
    <w:rsid w:val="00CE4F43"/>
    <w:rsid w:val="00CE57F1"/>
    <w:rsid w:val="00CE68ED"/>
    <w:rsid w:val="00CE70E2"/>
    <w:rsid w:val="00CE7833"/>
    <w:rsid w:val="00CF0DE2"/>
    <w:rsid w:val="00CF1968"/>
    <w:rsid w:val="00CF1A9E"/>
    <w:rsid w:val="00CF237B"/>
    <w:rsid w:val="00CF289D"/>
    <w:rsid w:val="00CF52F4"/>
    <w:rsid w:val="00CF6041"/>
    <w:rsid w:val="00CF706E"/>
    <w:rsid w:val="00D007BC"/>
    <w:rsid w:val="00D00916"/>
    <w:rsid w:val="00D00B23"/>
    <w:rsid w:val="00D00B2D"/>
    <w:rsid w:val="00D00E26"/>
    <w:rsid w:val="00D00F2E"/>
    <w:rsid w:val="00D00FAE"/>
    <w:rsid w:val="00D03962"/>
    <w:rsid w:val="00D045DC"/>
    <w:rsid w:val="00D04719"/>
    <w:rsid w:val="00D05783"/>
    <w:rsid w:val="00D05970"/>
    <w:rsid w:val="00D05BC7"/>
    <w:rsid w:val="00D064C3"/>
    <w:rsid w:val="00D06AA5"/>
    <w:rsid w:val="00D10AE2"/>
    <w:rsid w:val="00D117EB"/>
    <w:rsid w:val="00D11A6E"/>
    <w:rsid w:val="00D11A82"/>
    <w:rsid w:val="00D11FEC"/>
    <w:rsid w:val="00D12339"/>
    <w:rsid w:val="00D128B7"/>
    <w:rsid w:val="00D129FA"/>
    <w:rsid w:val="00D13045"/>
    <w:rsid w:val="00D133D2"/>
    <w:rsid w:val="00D143F2"/>
    <w:rsid w:val="00D146AE"/>
    <w:rsid w:val="00D14F73"/>
    <w:rsid w:val="00D15DCC"/>
    <w:rsid w:val="00D17178"/>
    <w:rsid w:val="00D175EA"/>
    <w:rsid w:val="00D21E16"/>
    <w:rsid w:val="00D225EA"/>
    <w:rsid w:val="00D2449B"/>
    <w:rsid w:val="00D24BEC"/>
    <w:rsid w:val="00D24D9D"/>
    <w:rsid w:val="00D2618A"/>
    <w:rsid w:val="00D264C7"/>
    <w:rsid w:val="00D26B0B"/>
    <w:rsid w:val="00D27007"/>
    <w:rsid w:val="00D2710D"/>
    <w:rsid w:val="00D313C3"/>
    <w:rsid w:val="00D31930"/>
    <w:rsid w:val="00D31EB1"/>
    <w:rsid w:val="00D32DDE"/>
    <w:rsid w:val="00D33056"/>
    <w:rsid w:val="00D33442"/>
    <w:rsid w:val="00D35B24"/>
    <w:rsid w:val="00D3773D"/>
    <w:rsid w:val="00D4021F"/>
    <w:rsid w:val="00D42B2A"/>
    <w:rsid w:val="00D4328D"/>
    <w:rsid w:val="00D4519E"/>
    <w:rsid w:val="00D452DB"/>
    <w:rsid w:val="00D4562C"/>
    <w:rsid w:val="00D46636"/>
    <w:rsid w:val="00D47C9D"/>
    <w:rsid w:val="00D50B91"/>
    <w:rsid w:val="00D50E1B"/>
    <w:rsid w:val="00D518DD"/>
    <w:rsid w:val="00D52CFA"/>
    <w:rsid w:val="00D534DE"/>
    <w:rsid w:val="00D54666"/>
    <w:rsid w:val="00D54C17"/>
    <w:rsid w:val="00D54D1D"/>
    <w:rsid w:val="00D56082"/>
    <w:rsid w:val="00D5729E"/>
    <w:rsid w:val="00D5740B"/>
    <w:rsid w:val="00D600B5"/>
    <w:rsid w:val="00D60802"/>
    <w:rsid w:val="00D608EC"/>
    <w:rsid w:val="00D60A2A"/>
    <w:rsid w:val="00D60F61"/>
    <w:rsid w:val="00D638FB"/>
    <w:rsid w:val="00D63984"/>
    <w:rsid w:val="00D63991"/>
    <w:rsid w:val="00D640B4"/>
    <w:rsid w:val="00D64394"/>
    <w:rsid w:val="00D64A71"/>
    <w:rsid w:val="00D677CF"/>
    <w:rsid w:val="00D70B5E"/>
    <w:rsid w:val="00D70C23"/>
    <w:rsid w:val="00D70FA6"/>
    <w:rsid w:val="00D720A5"/>
    <w:rsid w:val="00D72E21"/>
    <w:rsid w:val="00D73081"/>
    <w:rsid w:val="00D76938"/>
    <w:rsid w:val="00D76B60"/>
    <w:rsid w:val="00D76CEE"/>
    <w:rsid w:val="00D80120"/>
    <w:rsid w:val="00D80165"/>
    <w:rsid w:val="00D809F9"/>
    <w:rsid w:val="00D80F6D"/>
    <w:rsid w:val="00D8116C"/>
    <w:rsid w:val="00D81D69"/>
    <w:rsid w:val="00D82FB8"/>
    <w:rsid w:val="00D83C44"/>
    <w:rsid w:val="00D84777"/>
    <w:rsid w:val="00D84C9C"/>
    <w:rsid w:val="00D84F42"/>
    <w:rsid w:val="00D85991"/>
    <w:rsid w:val="00D85E5B"/>
    <w:rsid w:val="00D86501"/>
    <w:rsid w:val="00D86A30"/>
    <w:rsid w:val="00D86AB2"/>
    <w:rsid w:val="00D86BE7"/>
    <w:rsid w:val="00D8720D"/>
    <w:rsid w:val="00D87644"/>
    <w:rsid w:val="00D903E2"/>
    <w:rsid w:val="00D918A0"/>
    <w:rsid w:val="00D91A29"/>
    <w:rsid w:val="00D92021"/>
    <w:rsid w:val="00D92C32"/>
    <w:rsid w:val="00D93888"/>
    <w:rsid w:val="00D94097"/>
    <w:rsid w:val="00D94C35"/>
    <w:rsid w:val="00D950C3"/>
    <w:rsid w:val="00D95264"/>
    <w:rsid w:val="00D955D8"/>
    <w:rsid w:val="00D95A97"/>
    <w:rsid w:val="00D961AF"/>
    <w:rsid w:val="00D965C1"/>
    <w:rsid w:val="00D96603"/>
    <w:rsid w:val="00D96D6C"/>
    <w:rsid w:val="00D974AD"/>
    <w:rsid w:val="00D976D5"/>
    <w:rsid w:val="00DA097E"/>
    <w:rsid w:val="00DA121B"/>
    <w:rsid w:val="00DA177A"/>
    <w:rsid w:val="00DA40F2"/>
    <w:rsid w:val="00DA441D"/>
    <w:rsid w:val="00DA4B71"/>
    <w:rsid w:val="00DA6A06"/>
    <w:rsid w:val="00DA77BA"/>
    <w:rsid w:val="00DA79BC"/>
    <w:rsid w:val="00DA7C36"/>
    <w:rsid w:val="00DB1645"/>
    <w:rsid w:val="00DB2C61"/>
    <w:rsid w:val="00DB2F35"/>
    <w:rsid w:val="00DB35CC"/>
    <w:rsid w:val="00DB3BA4"/>
    <w:rsid w:val="00DB57E1"/>
    <w:rsid w:val="00DB5933"/>
    <w:rsid w:val="00DB6A32"/>
    <w:rsid w:val="00DC0341"/>
    <w:rsid w:val="00DC11E7"/>
    <w:rsid w:val="00DC16F0"/>
    <w:rsid w:val="00DC18A9"/>
    <w:rsid w:val="00DC37A3"/>
    <w:rsid w:val="00DC4869"/>
    <w:rsid w:val="00DC5B53"/>
    <w:rsid w:val="00DC6F3A"/>
    <w:rsid w:val="00DC7941"/>
    <w:rsid w:val="00DD067D"/>
    <w:rsid w:val="00DD0941"/>
    <w:rsid w:val="00DD0FBB"/>
    <w:rsid w:val="00DD3269"/>
    <w:rsid w:val="00DD3356"/>
    <w:rsid w:val="00DD50A4"/>
    <w:rsid w:val="00DD6E39"/>
    <w:rsid w:val="00DD7473"/>
    <w:rsid w:val="00DD76F4"/>
    <w:rsid w:val="00DE18EB"/>
    <w:rsid w:val="00DE1DC6"/>
    <w:rsid w:val="00DE2A56"/>
    <w:rsid w:val="00DE3A5B"/>
    <w:rsid w:val="00DE3BC1"/>
    <w:rsid w:val="00DE3D5E"/>
    <w:rsid w:val="00DE55C5"/>
    <w:rsid w:val="00DE6456"/>
    <w:rsid w:val="00DF052E"/>
    <w:rsid w:val="00DF0A9C"/>
    <w:rsid w:val="00DF1175"/>
    <w:rsid w:val="00DF221B"/>
    <w:rsid w:val="00DF3414"/>
    <w:rsid w:val="00DF5494"/>
    <w:rsid w:val="00DF75D6"/>
    <w:rsid w:val="00DF76B4"/>
    <w:rsid w:val="00E0369E"/>
    <w:rsid w:val="00E0379C"/>
    <w:rsid w:val="00E0389E"/>
    <w:rsid w:val="00E05BDE"/>
    <w:rsid w:val="00E061B4"/>
    <w:rsid w:val="00E0659C"/>
    <w:rsid w:val="00E07DD7"/>
    <w:rsid w:val="00E11111"/>
    <w:rsid w:val="00E113CD"/>
    <w:rsid w:val="00E11707"/>
    <w:rsid w:val="00E11A81"/>
    <w:rsid w:val="00E12048"/>
    <w:rsid w:val="00E13ECC"/>
    <w:rsid w:val="00E15233"/>
    <w:rsid w:val="00E1550D"/>
    <w:rsid w:val="00E161BE"/>
    <w:rsid w:val="00E16665"/>
    <w:rsid w:val="00E16871"/>
    <w:rsid w:val="00E16B87"/>
    <w:rsid w:val="00E17FB4"/>
    <w:rsid w:val="00E20208"/>
    <w:rsid w:val="00E2049E"/>
    <w:rsid w:val="00E2064E"/>
    <w:rsid w:val="00E206ED"/>
    <w:rsid w:val="00E208A4"/>
    <w:rsid w:val="00E24DC8"/>
    <w:rsid w:val="00E2570C"/>
    <w:rsid w:val="00E25927"/>
    <w:rsid w:val="00E25EEC"/>
    <w:rsid w:val="00E27294"/>
    <w:rsid w:val="00E305F2"/>
    <w:rsid w:val="00E30D7F"/>
    <w:rsid w:val="00E30E9A"/>
    <w:rsid w:val="00E310B7"/>
    <w:rsid w:val="00E31EFC"/>
    <w:rsid w:val="00E330AA"/>
    <w:rsid w:val="00E330CF"/>
    <w:rsid w:val="00E3458C"/>
    <w:rsid w:val="00E349E9"/>
    <w:rsid w:val="00E35246"/>
    <w:rsid w:val="00E36167"/>
    <w:rsid w:val="00E36625"/>
    <w:rsid w:val="00E404CB"/>
    <w:rsid w:val="00E41A5E"/>
    <w:rsid w:val="00E420D9"/>
    <w:rsid w:val="00E43751"/>
    <w:rsid w:val="00E43A04"/>
    <w:rsid w:val="00E43E16"/>
    <w:rsid w:val="00E43EDB"/>
    <w:rsid w:val="00E45395"/>
    <w:rsid w:val="00E46A29"/>
    <w:rsid w:val="00E471FC"/>
    <w:rsid w:val="00E50D89"/>
    <w:rsid w:val="00E5148E"/>
    <w:rsid w:val="00E514C8"/>
    <w:rsid w:val="00E52634"/>
    <w:rsid w:val="00E54891"/>
    <w:rsid w:val="00E56B6D"/>
    <w:rsid w:val="00E57474"/>
    <w:rsid w:val="00E57ABD"/>
    <w:rsid w:val="00E608BF"/>
    <w:rsid w:val="00E62270"/>
    <w:rsid w:val="00E62A1C"/>
    <w:rsid w:val="00E637F9"/>
    <w:rsid w:val="00E645AB"/>
    <w:rsid w:val="00E65473"/>
    <w:rsid w:val="00E6592F"/>
    <w:rsid w:val="00E67B8D"/>
    <w:rsid w:val="00E707E3"/>
    <w:rsid w:val="00E70B3F"/>
    <w:rsid w:val="00E70BDF"/>
    <w:rsid w:val="00E71211"/>
    <w:rsid w:val="00E71D3A"/>
    <w:rsid w:val="00E7214D"/>
    <w:rsid w:val="00E73B2C"/>
    <w:rsid w:val="00E7436A"/>
    <w:rsid w:val="00E745C2"/>
    <w:rsid w:val="00E74D7E"/>
    <w:rsid w:val="00E755AB"/>
    <w:rsid w:val="00E75AAF"/>
    <w:rsid w:val="00E7679A"/>
    <w:rsid w:val="00E76F7D"/>
    <w:rsid w:val="00E772F5"/>
    <w:rsid w:val="00E8220D"/>
    <w:rsid w:val="00E83FD2"/>
    <w:rsid w:val="00E8470E"/>
    <w:rsid w:val="00E85A76"/>
    <w:rsid w:val="00E87CB9"/>
    <w:rsid w:val="00E9204D"/>
    <w:rsid w:val="00E935AC"/>
    <w:rsid w:val="00E93F8C"/>
    <w:rsid w:val="00E93FD5"/>
    <w:rsid w:val="00E95FDD"/>
    <w:rsid w:val="00E96983"/>
    <w:rsid w:val="00E96FF2"/>
    <w:rsid w:val="00E97CED"/>
    <w:rsid w:val="00E97F6E"/>
    <w:rsid w:val="00EA15B7"/>
    <w:rsid w:val="00EA2991"/>
    <w:rsid w:val="00EA33F0"/>
    <w:rsid w:val="00EA5481"/>
    <w:rsid w:val="00EA5654"/>
    <w:rsid w:val="00EA5EC0"/>
    <w:rsid w:val="00EA5EF3"/>
    <w:rsid w:val="00EA640E"/>
    <w:rsid w:val="00EA6CE9"/>
    <w:rsid w:val="00EA76D8"/>
    <w:rsid w:val="00EB2A50"/>
    <w:rsid w:val="00EB2A60"/>
    <w:rsid w:val="00EB33BE"/>
    <w:rsid w:val="00EB4559"/>
    <w:rsid w:val="00EB5700"/>
    <w:rsid w:val="00EB57D9"/>
    <w:rsid w:val="00EB5F08"/>
    <w:rsid w:val="00EB6C62"/>
    <w:rsid w:val="00EB7268"/>
    <w:rsid w:val="00EB758D"/>
    <w:rsid w:val="00EC0470"/>
    <w:rsid w:val="00EC0A1E"/>
    <w:rsid w:val="00EC0E0F"/>
    <w:rsid w:val="00EC145D"/>
    <w:rsid w:val="00EC3077"/>
    <w:rsid w:val="00ED0E2F"/>
    <w:rsid w:val="00ED1DB3"/>
    <w:rsid w:val="00ED3D1E"/>
    <w:rsid w:val="00ED3F59"/>
    <w:rsid w:val="00ED43B9"/>
    <w:rsid w:val="00ED4704"/>
    <w:rsid w:val="00ED4708"/>
    <w:rsid w:val="00ED4A18"/>
    <w:rsid w:val="00ED5439"/>
    <w:rsid w:val="00ED588E"/>
    <w:rsid w:val="00ED658A"/>
    <w:rsid w:val="00ED66D6"/>
    <w:rsid w:val="00ED68EC"/>
    <w:rsid w:val="00ED69D0"/>
    <w:rsid w:val="00ED7849"/>
    <w:rsid w:val="00EE0F6B"/>
    <w:rsid w:val="00EE1193"/>
    <w:rsid w:val="00EE307C"/>
    <w:rsid w:val="00EE3C39"/>
    <w:rsid w:val="00EE5B75"/>
    <w:rsid w:val="00EE62A0"/>
    <w:rsid w:val="00EE78CA"/>
    <w:rsid w:val="00EE7C4D"/>
    <w:rsid w:val="00EF13FE"/>
    <w:rsid w:val="00EF42AC"/>
    <w:rsid w:val="00EF54A3"/>
    <w:rsid w:val="00EF62EF"/>
    <w:rsid w:val="00EF6557"/>
    <w:rsid w:val="00EF7B85"/>
    <w:rsid w:val="00EF7D61"/>
    <w:rsid w:val="00F01F8B"/>
    <w:rsid w:val="00F0223C"/>
    <w:rsid w:val="00F044DD"/>
    <w:rsid w:val="00F05200"/>
    <w:rsid w:val="00F0527C"/>
    <w:rsid w:val="00F0584A"/>
    <w:rsid w:val="00F1047A"/>
    <w:rsid w:val="00F10480"/>
    <w:rsid w:val="00F109B3"/>
    <w:rsid w:val="00F10D8F"/>
    <w:rsid w:val="00F11001"/>
    <w:rsid w:val="00F114A5"/>
    <w:rsid w:val="00F1265F"/>
    <w:rsid w:val="00F12D26"/>
    <w:rsid w:val="00F12DD7"/>
    <w:rsid w:val="00F12FBD"/>
    <w:rsid w:val="00F138EA"/>
    <w:rsid w:val="00F158FA"/>
    <w:rsid w:val="00F15F1A"/>
    <w:rsid w:val="00F175B4"/>
    <w:rsid w:val="00F201C9"/>
    <w:rsid w:val="00F2263E"/>
    <w:rsid w:val="00F22919"/>
    <w:rsid w:val="00F22CC7"/>
    <w:rsid w:val="00F22D1D"/>
    <w:rsid w:val="00F2300E"/>
    <w:rsid w:val="00F23CD5"/>
    <w:rsid w:val="00F24A72"/>
    <w:rsid w:val="00F253CA"/>
    <w:rsid w:val="00F2630D"/>
    <w:rsid w:val="00F2735E"/>
    <w:rsid w:val="00F27E4A"/>
    <w:rsid w:val="00F30E4D"/>
    <w:rsid w:val="00F31609"/>
    <w:rsid w:val="00F31E62"/>
    <w:rsid w:val="00F337E3"/>
    <w:rsid w:val="00F3400D"/>
    <w:rsid w:val="00F344C6"/>
    <w:rsid w:val="00F352C7"/>
    <w:rsid w:val="00F3594D"/>
    <w:rsid w:val="00F36485"/>
    <w:rsid w:val="00F36BE5"/>
    <w:rsid w:val="00F36D40"/>
    <w:rsid w:val="00F4233E"/>
    <w:rsid w:val="00F42A26"/>
    <w:rsid w:val="00F4332F"/>
    <w:rsid w:val="00F434FC"/>
    <w:rsid w:val="00F4510C"/>
    <w:rsid w:val="00F458EA"/>
    <w:rsid w:val="00F47E25"/>
    <w:rsid w:val="00F5043D"/>
    <w:rsid w:val="00F50A4A"/>
    <w:rsid w:val="00F50E36"/>
    <w:rsid w:val="00F511A0"/>
    <w:rsid w:val="00F52180"/>
    <w:rsid w:val="00F53036"/>
    <w:rsid w:val="00F53532"/>
    <w:rsid w:val="00F53BA2"/>
    <w:rsid w:val="00F54332"/>
    <w:rsid w:val="00F554C6"/>
    <w:rsid w:val="00F571CA"/>
    <w:rsid w:val="00F61797"/>
    <w:rsid w:val="00F61F05"/>
    <w:rsid w:val="00F62F45"/>
    <w:rsid w:val="00F63845"/>
    <w:rsid w:val="00F64B1F"/>
    <w:rsid w:val="00F66A91"/>
    <w:rsid w:val="00F67EAD"/>
    <w:rsid w:val="00F717C2"/>
    <w:rsid w:val="00F728B8"/>
    <w:rsid w:val="00F72D5A"/>
    <w:rsid w:val="00F736A5"/>
    <w:rsid w:val="00F74319"/>
    <w:rsid w:val="00F765FA"/>
    <w:rsid w:val="00F76E02"/>
    <w:rsid w:val="00F77A3B"/>
    <w:rsid w:val="00F80057"/>
    <w:rsid w:val="00F812D4"/>
    <w:rsid w:val="00F8156B"/>
    <w:rsid w:val="00F81DE7"/>
    <w:rsid w:val="00F81E15"/>
    <w:rsid w:val="00F81E97"/>
    <w:rsid w:val="00F8291B"/>
    <w:rsid w:val="00F83749"/>
    <w:rsid w:val="00F83DDB"/>
    <w:rsid w:val="00F83F45"/>
    <w:rsid w:val="00F84200"/>
    <w:rsid w:val="00F8470E"/>
    <w:rsid w:val="00F84A64"/>
    <w:rsid w:val="00F85CC0"/>
    <w:rsid w:val="00F85DD9"/>
    <w:rsid w:val="00F90424"/>
    <w:rsid w:val="00F91672"/>
    <w:rsid w:val="00F924ED"/>
    <w:rsid w:val="00F92D3A"/>
    <w:rsid w:val="00F93525"/>
    <w:rsid w:val="00F93B3D"/>
    <w:rsid w:val="00F93BAD"/>
    <w:rsid w:val="00F93BE5"/>
    <w:rsid w:val="00F9404B"/>
    <w:rsid w:val="00F94223"/>
    <w:rsid w:val="00F95B66"/>
    <w:rsid w:val="00F97D16"/>
    <w:rsid w:val="00F97FCB"/>
    <w:rsid w:val="00FA03F4"/>
    <w:rsid w:val="00FA0575"/>
    <w:rsid w:val="00FA09BF"/>
    <w:rsid w:val="00FA0A28"/>
    <w:rsid w:val="00FA0C5B"/>
    <w:rsid w:val="00FA0EB5"/>
    <w:rsid w:val="00FA100E"/>
    <w:rsid w:val="00FA18CD"/>
    <w:rsid w:val="00FA1C33"/>
    <w:rsid w:val="00FA24D0"/>
    <w:rsid w:val="00FA2EC8"/>
    <w:rsid w:val="00FA2FE8"/>
    <w:rsid w:val="00FA3151"/>
    <w:rsid w:val="00FA594B"/>
    <w:rsid w:val="00FA6726"/>
    <w:rsid w:val="00FA78E4"/>
    <w:rsid w:val="00FA7C7A"/>
    <w:rsid w:val="00FB2121"/>
    <w:rsid w:val="00FB32CE"/>
    <w:rsid w:val="00FB33CF"/>
    <w:rsid w:val="00FB3DA3"/>
    <w:rsid w:val="00FB3E86"/>
    <w:rsid w:val="00FB53A2"/>
    <w:rsid w:val="00FB5593"/>
    <w:rsid w:val="00FB6799"/>
    <w:rsid w:val="00FB7638"/>
    <w:rsid w:val="00FC08D1"/>
    <w:rsid w:val="00FC0DCE"/>
    <w:rsid w:val="00FC0E79"/>
    <w:rsid w:val="00FC1C04"/>
    <w:rsid w:val="00FC2C98"/>
    <w:rsid w:val="00FC3303"/>
    <w:rsid w:val="00FC4482"/>
    <w:rsid w:val="00FC5BBD"/>
    <w:rsid w:val="00FC5DCC"/>
    <w:rsid w:val="00FC6769"/>
    <w:rsid w:val="00FC6C3D"/>
    <w:rsid w:val="00FD1D4A"/>
    <w:rsid w:val="00FD2171"/>
    <w:rsid w:val="00FD338E"/>
    <w:rsid w:val="00FD3D4D"/>
    <w:rsid w:val="00FD4E66"/>
    <w:rsid w:val="00FD5153"/>
    <w:rsid w:val="00FD609E"/>
    <w:rsid w:val="00FD6AF2"/>
    <w:rsid w:val="00FD6F8A"/>
    <w:rsid w:val="00FD73AD"/>
    <w:rsid w:val="00FD7D5F"/>
    <w:rsid w:val="00FE133A"/>
    <w:rsid w:val="00FE21EE"/>
    <w:rsid w:val="00FE2B90"/>
    <w:rsid w:val="00FE3D36"/>
    <w:rsid w:val="00FE5039"/>
    <w:rsid w:val="00FE69F9"/>
    <w:rsid w:val="00FE6A80"/>
    <w:rsid w:val="00FE6FFB"/>
    <w:rsid w:val="00FE7BB2"/>
    <w:rsid w:val="00FF093C"/>
    <w:rsid w:val="00FF24FC"/>
    <w:rsid w:val="00FF25AC"/>
    <w:rsid w:val="00FF317A"/>
    <w:rsid w:val="00FF3D04"/>
    <w:rsid w:val="00FF3E4B"/>
    <w:rsid w:val="00FF4CBC"/>
    <w:rsid w:val="00FF61E8"/>
    <w:rsid w:val="00FF6346"/>
    <w:rsid w:val="00FF7340"/>
    <w:rsid w:val="00FF7A5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4E646"/>
  <w15:docId w15:val="{9D4684B1-2E7B-4FB9-8CD3-152A78BAD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3" w:qFormat="1"/>
    <w:lsdException w:name="heading 3" w:semiHidden="1" w:uiPriority="4" w:qFormat="1"/>
    <w:lsdException w:name="heading 4" w:semiHidden="1" w:uiPriority="5"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qFormat="1"/>
    <w:lsdException w:name="List Number" w:semiHidden="1"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qFormat="1"/>
    <w:lsdException w:name="List Bullet 3" w:semiHidden="1" w:uiPriority="10" w:qFormat="1"/>
    <w:lsdException w:name="List Bullet 4" w:semiHidden="1" w:unhideWhenUsed="1"/>
    <w:lsdException w:name="List Bullet 5" w:semiHidden="1" w:unhideWhenUsed="1"/>
    <w:lsdException w:name="List Number 2" w:semiHidden="1" w:uiPriority="12" w:qFormat="1"/>
    <w:lsdException w:name="List Number 3" w:semiHidden="1" w:uiPriority="13"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iPriority="27"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unhideWhenUsed="1"/>
    <w:lsdException w:name="Intense Reference" w:uiPriority="32" w:unhideWhenUsed="1"/>
    <w:lsdException w:name="Book Title"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639E2"/>
    <w:pPr>
      <w:tabs>
        <w:tab w:val="left" w:pos="284"/>
      </w:tabs>
      <w:spacing w:line="240" w:lineRule="atLeast"/>
    </w:pPr>
    <w:rPr>
      <w:kern w:val="18"/>
      <w:sz w:val="24"/>
    </w:rPr>
  </w:style>
  <w:style w:type="paragraph" w:styleId="Heading1">
    <w:name w:val="heading 1"/>
    <w:basedOn w:val="Normal"/>
    <w:next w:val="BodyText"/>
    <w:link w:val="Heading1Char"/>
    <w:uiPriority w:val="2"/>
    <w:qFormat/>
    <w:rsid w:val="00440A3E"/>
    <w:pPr>
      <w:keepNext/>
      <w:keepLines/>
      <w:numPr>
        <w:numId w:val="33"/>
      </w:numPr>
      <w:tabs>
        <w:tab w:val="clear" w:pos="284"/>
      </w:tabs>
      <w:spacing w:after="180" w:line="276" w:lineRule="auto"/>
      <w:ind w:left="854" w:right="53" w:hanging="840"/>
      <w:outlineLvl w:val="0"/>
    </w:pPr>
    <w:rPr>
      <w:rFonts w:asciiTheme="majorHAnsi" w:eastAsiaTheme="majorEastAsia" w:hAnsiTheme="majorHAnsi" w:cstheme="majorBidi"/>
      <w:b/>
      <w:bCs/>
      <w:color w:val="00353E"/>
      <w:sz w:val="48"/>
      <w:szCs w:val="28"/>
      <w:lang w:val="en-US"/>
    </w:rPr>
  </w:style>
  <w:style w:type="paragraph" w:styleId="Heading2">
    <w:name w:val="heading 2"/>
    <w:basedOn w:val="Heading1"/>
    <w:next w:val="BodyText"/>
    <w:link w:val="Heading2Char"/>
    <w:uiPriority w:val="3"/>
    <w:qFormat/>
    <w:rsid w:val="00440A3E"/>
    <w:pPr>
      <w:numPr>
        <w:ilvl w:val="1"/>
      </w:numPr>
      <w:spacing w:before="180"/>
      <w:ind w:left="826" w:hanging="828"/>
      <w:outlineLvl w:val="1"/>
    </w:pPr>
    <w:rPr>
      <w:sz w:val="36"/>
      <w:szCs w:val="20"/>
    </w:rPr>
  </w:style>
  <w:style w:type="paragraph" w:styleId="Heading3">
    <w:name w:val="heading 3"/>
    <w:basedOn w:val="Normal"/>
    <w:next w:val="BodyText"/>
    <w:link w:val="Heading3Char"/>
    <w:uiPriority w:val="4"/>
    <w:qFormat/>
    <w:rsid w:val="00440A3E"/>
    <w:pPr>
      <w:keepLines/>
      <w:tabs>
        <w:tab w:val="clear" w:pos="284"/>
      </w:tabs>
      <w:spacing w:before="180" w:after="180" w:line="276" w:lineRule="auto"/>
      <w:ind w:left="826"/>
      <w:outlineLvl w:val="2"/>
    </w:pPr>
    <w:rPr>
      <w:rFonts w:asciiTheme="majorHAnsi" w:eastAsiaTheme="majorEastAsia" w:hAnsiTheme="majorHAnsi" w:cstheme="majorBidi"/>
      <w:b/>
      <w:bCs/>
      <w:color w:val="00353E"/>
      <w:sz w:val="30"/>
    </w:rPr>
  </w:style>
  <w:style w:type="paragraph" w:styleId="Heading4">
    <w:name w:val="heading 4"/>
    <w:basedOn w:val="Normal"/>
    <w:next w:val="BodyText"/>
    <w:link w:val="Heading4Char"/>
    <w:uiPriority w:val="5"/>
    <w:qFormat/>
    <w:rsid w:val="00440A3E"/>
    <w:pPr>
      <w:keepLines/>
      <w:tabs>
        <w:tab w:val="clear" w:pos="284"/>
      </w:tabs>
      <w:spacing w:before="180" w:after="180" w:line="276" w:lineRule="auto"/>
      <w:ind w:left="851"/>
      <w:outlineLvl w:val="3"/>
    </w:pPr>
    <w:rPr>
      <w:rFonts w:asciiTheme="majorHAnsi" w:eastAsiaTheme="majorEastAsia" w:hAnsiTheme="majorHAnsi" w:cstheme="majorBidi"/>
      <w:b/>
      <w:bCs/>
      <w:iCs/>
      <w:color w:val="00353E"/>
    </w:rPr>
  </w:style>
  <w:style w:type="paragraph" w:styleId="Heading5">
    <w:name w:val="heading 5"/>
    <w:basedOn w:val="Normal"/>
    <w:next w:val="BodyText"/>
    <w:link w:val="Heading5Char"/>
    <w:uiPriority w:val="9"/>
    <w:semiHidden/>
    <w:unhideWhenUsed/>
    <w:rsid w:val="002770A0"/>
    <w:pPr>
      <w:keepNext/>
      <w:keepLines/>
      <w:spacing w:before="120"/>
      <w:outlineLvl w:val="4"/>
    </w:pPr>
    <w:rPr>
      <w:rFonts w:asciiTheme="majorHAnsi" w:eastAsiaTheme="majorEastAsia" w:hAnsiTheme="majorHAnsi" w:cstheme="majorBidi"/>
      <w:b/>
      <w:color w:val="008768" w:themeColor="accent1"/>
    </w:rPr>
  </w:style>
  <w:style w:type="paragraph" w:styleId="Heading6">
    <w:name w:val="heading 6"/>
    <w:basedOn w:val="Normal"/>
    <w:next w:val="Normal"/>
    <w:link w:val="Heading6Char"/>
    <w:uiPriority w:val="9"/>
    <w:unhideWhenUsed/>
    <w:rsid w:val="00582989"/>
    <w:pPr>
      <w:keepNext/>
      <w:keepLines/>
      <w:spacing w:before="200"/>
      <w:outlineLvl w:val="5"/>
    </w:pPr>
    <w:rPr>
      <w:rFonts w:asciiTheme="majorHAnsi" w:eastAsiaTheme="majorEastAsia" w:hAnsiTheme="majorHAnsi" w:cstheme="majorBidi"/>
      <w:i/>
      <w:iCs/>
      <w:color w:val="004333" w:themeColor="accent1" w:themeShade="7F"/>
    </w:rPr>
  </w:style>
  <w:style w:type="paragraph" w:styleId="Heading7">
    <w:name w:val="heading 7"/>
    <w:basedOn w:val="Normal"/>
    <w:next w:val="Normal"/>
    <w:link w:val="Heading7Char"/>
    <w:uiPriority w:val="9"/>
    <w:unhideWhenUsed/>
    <w:rsid w:val="0058298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58298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5829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40A3E"/>
    <w:rPr>
      <w:rFonts w:asciiTheme="majorHAnsi" w:eastAsiaTheme="majorEastAsia" w:hAnsiTheme="majorHAnsi" w:cstheme="majorBidi"/>
      <w:b/>
      <w:bCs/>
      <w:color w:val="00353E"/>
      <w:kern w:val="18"/>
      <w:sz w:val="48"/>
      <w:szCs w:val="28"/>
      <w:lang w:val="en-US"/>
    </w:rPr>
  </w:style>
  <w:style w:type="character" w:customStyle="1" w:styleId="Heading2Char">
    <w:name w:val="Heading 2 Char"/>
    <w:basedOn w:val="DefaultParagraphFont"/>
    <w:link w:val="Heading2"/>
    <w:uiPriority w:val="3"/>
    <w:rsid w:val="00440A3E"/>
    <w:rPr>
      <w:rFonts w:asciiTheme="majorHAnsi" w:eastAsiaTheme="majorEastAsia" w:hAnsiTheme="majorHAnsi" w:cstheme="majorBidi"/>
      <w:b/>
      <w:bCs/>
      <w:color w:val="00353E"/>
      <w:kern w:val="18"/>
      <w:sz w:val="36"/>
      <w:szCs w:val="20"/>
      <w:lang w:val="en-US"/>
    </w:rPr>
  </w:style>
  <w:style w:type="character" w:customStyle="1" w:styleId="Heading3Char">
    <w:name w:val="Heading 3 Char"/>
    <w:basedOn w:val="DefaultParagraphFont"/>
    <w:link w:val="Heading3"/>
    <w:uiPriority w:val="4"/>
    <w:rsid w:val="00440A3E"/>
    <w:rPr>
      <w:rFonts w:asciiTheme="majorHAnsi" w:eastAsiaTheme="majorEastAsia" w:hAnsiTheme="majorHAnsi" w:cstheme="majorBidi"/>
      <w:b/>
      <w:bCs/>
      <w:color w:val="00353E"/>
      <w:kern w:val="18"/>
      <w:sz w:val="30"/>
    </w:rPr>
  </w:style>
  <w:style w:type="paragraph" w:styleId="ListNumber">
    <w:name w:val="List Number"/>
    <w:basedOn w:val="Normal"/>
    <w:uiPriority w:val="11"/>
    <w:qFormat/>
    <w:rsid w:val="00790710"/>
    <w:pPr>
      <w:numPr>
        <w:numId w:val="16"/>
      </w:numPr>
      <w:tabs>
        <w:tab w:val="clear" w:pos="284"/>
      </w:tabs>
      <w:spacing w:after="120"/>
    </w:pPr>
  </w:style>
  <w:style w:type="paragraph" w:styleId="ListNumber2">
    <w:name w:val="List Number 2"/>
    <w:basedOn w:val="Normal"/>
    <w:uiPriority w:val="12"/>
    <w:qFormat/>
    <w:rsid w:val="00790710"/>
    <w:pPr>
      <w:numPr>
        <w:ilvl w:val="1"/>
        <w:numId w:val="16"/>
      </w:numPr>
      <w:tabs>
        <w:tab w:val="clear" w:pos="284"/>
      </w:tabs>
      <w:spacing w:after="120"/>
    </w:pPr>
  </w:style>
  <w:style w:type="paragraph" w:styleId="ListNumber3">
    <w:name w:val="List Number 3"/>
    <w:basedOn w:val="Normal"/>
    <w:uiPriority w:val="13"/>
    <w:qFormat/>
    <w:rsid w:val="00790710"/>
    <w:pPr>
      <w:numPr>
        <w:ilvl w:val="2"/>
        <w:numId w:val="16"/>
      </w:numPr>
      <w:tabs>
        <w:tab w:val="clear" w:pos="284"/>
      </w:tabs>
      <w:spacing w:after="120"/>
    </w:pPr>
  </w:style>
  <w:style w:type="paragraph" w:styleId="ListBullet">
    <w:name w:val="List Bullet"/>
    <w:basedOn w:val="Normal"/>
    <w:uiPriority w:val="8"/>
    <w:qFormat/>
    <w:rsid w:val="00CC131A"/>
    <w:pPr>
      <w:numPr>
        <w:numId w:val="15"/>
      </w:numPr>
      <w:tabs>
        <w:tab w:val="clear" w:pos="284"/>
        <w:tab w:val="clear" w:pos="425"/>
      </w:tabs>
      <w:spacing w:after="120" w:line="276" w:lineRule="auto"/>
      <w:ind w:left="1276"/>
    </w:pPr>
  </w:style>
  <w:style w:type="paragraph" w:styleId="ListBullet2">
    <w:name w:val="List Bullet 2"/>
    <w:basedOn w:val="ListBullet"/>
    <w:uiPriority w:val="9"/>
    <w:qFormat/>
    <w:rsid w:val="002A03D9"/>
    <w:pPr>
      <w:numPr>
        <w:ilvl w:val="1"/>
      </w:numPr>
      <w:tabs>
        <w:tab w:val="clear" w:pos="851"/>
        <w:tab w:val="num" w:pos="1985"/>
      </w:tabs>
      <w:ind w:left="1701"/>
    </w:pPr>
  </w:style>
  <w:style w:type="paragraph" w:styleId="ListBullet3">
    <w:name w:val="List Bullet 3"/>
    <w:basedOn w:val="Normal"/>
    <w:uiPriority w:val="10"/>
    <w:qFormat/>
    <w:rsid w:val="00790710"/>
    <w:pPr>
      <w:numPr>
        <w:ilvl w:val="2"/>
        <w:numId w:val="15"/>
      </w:numPr>
      <w:tabs>
        <w:tab w:val="clear" w:pos="284"/>
      </w:tabs>
      <w:spacing w:after="120"/>
    </w:pPr>
  </w:style>
  <w:style w:type="character" w:customStyle="1" w:styleId="Heading4Char">
    <w:name w:val="Heading 4 Char"/>
    <w:basedOn w:val="DefaultParagraphFont"/>
    <w:link w:val="Heading4"/>
    <w:uiPriority w:val="5"/>
    <w:rsid w:val="00440A3E"/>
    <w:rPr>
      <w:rFonts w:asciiTheme="majorHAnsi" w:eastAsiaTheme="majorEastAsia" w:hAnsiTheme="majorHAnsi" w:cstheme="majorBidi"/>
      <w:b/>
      <w:bCs/>
      <w:iCs/>
      <w:color w:val="00353E"/>
      <w:kern w:val="18"/>
      <w:sz w:val="24"/>
    </w:rPr>
  </w:style>
  <w:style w:type="numbering" w:customStyle="1" w:styleId="AECOMBullets">
    <w:name w:val="AECOM_Bullets"/>
    <w:basedOn w:val="NoList"/>
    <w:uiPriority w:val="99"/>
    <w:semiHidden/>
    <w:unhideWhenUsed/>
    <w:rsid w:val="00C86409"/>
    <w:pPr>
      <w:numPr>
        <w:numId w:val="1"/>
      </w:numPr>
    </w:pPr>
  </w:style>
  <w:style w:type="character" w:customStyle="1" w:styleId="Heading5Char">
    <w:name w:val="Heading 5 Char"/>
    <w:basedOn w:val="DefaultParagraphFont"/>
    <w:link w:val="Heading5"/>
    <w:uiPriority w:val="9"/>
    <w:semiHidden/>
    <w:rsid w:val="00F66A91"/>
    <w:rPr>
      <w:rFonts w:asciiTheme="majorHAnsi" w:eastAsiaTheme="majorEastAsia" w:hAnsiTheme="majorHAnsi" w:cstheme="majorBidi"/>
      <w:b/>
      <w:color w:val="008768" w:themeColor="accent1"/>
      <w:kern w:val="18"/>
    </w:rPr>
  </w:style>
  <w:style w:type="paragraph" w:styleId="BodyText">
    <w:name w:val="Body Text"/>
    <w:basedOn w:val="Normal"/>
    <w:link w:val="BodyTextChar"/>
    <w:qFormat/>
    <w:rsid w:val="00967573"/>
    <w:pPr>
      <w:tabs>
        <w:tab w:val="clear" w:pos="284"/>
      </w:tabs>
      <w:spacing w:after="180"/>
    </w:pPr>
  </w:style>
  <w:style w:type="numbering" w:customStyle="1" w:styleId="AECOMList">
    <w:name w:val="AECOM_List"/>
    <w:basedOn w:val="NoList"/>
    <w:uiPriority w:val="99"/>
    <w:semiHidden/>
    <w:unhideWhenUsed/>
    <w:rsid w:val="00323654"/>
    <w:pPr>
      <w:numPr>
        <w:numId w:val="2"/>
      </w:numPr>
    </w:pPr>
  </w:style>
  <w:style w:type="character" w:customStyle="1" w:styleId="BodyTextChar">
    <w:name w:val="Body Text Char"/>
    <w:basedOn w:val="DefaultParagraphFont"/>
    <w:link w:val="BodyText"/>
    <w:rsid w:val="00967573"/>
    <w:rPr>
      <w:kern w:val="18"/>
      <w:sz w:val="24"/>
    </w:rPr>
  </w:style>
  <w:style w:type="paragraph" w:customStyle="1" w:styleId="CoverTitle">
    <w:name w:val="Cover Title"/>
    <w:basedOn w:val="Normal"/>
    <w:next w:val="BodyText"/>
    <w:semiHidden/>
    <w:unhideWhenUsed/>
    <w:rsid w:val="00DD3356"/>
    <w:pPr>
      <w:spacing w:before="360" w:after="360" w:line="900" w:lineRule="atLeast"/>
    </w:pPr>
    <w:rPr>
      <w:rFonts w:asciiTheme="majorHAnsi" w:hAnsiTheme="majorHAnsi"/>
      <w:b/>
      <w:color w:val="008768" w:themeColor="accent1"/>
      <w:sz w:val="80"/>
    </w:rPr>
  </w:style>
  <w:style w:type="paragraph" w:customStyle="1" w:styleId="SectionTitle">
    <w:name w:val="Section Title"/>
    <w:basedOn w:val="BodyText"/>
    <w:next w:val="BodyText"/>
    <w:semiHidden/>
    <w:unhideWhenUsed/>
    <w:rsid w:val="00D129FA"/>
    <w:pPr>
      <w:spacing w:before="360" w:after="360" w:line="660" w:lineRule="atLeast"/>
      <w:jc w:val="right"/>
    </w:pPr>
    <w:rPr>
      <w:rFonts w:asciiTheme="majorHAnsi" w:hAnsiTheme="majorHAnsi"/>
      <w:color w:val="FFFFFF" w:themeColor="background1"/>
      <w:sz w:val="60"/>
    </w:rPr>
  </w:style>
  <w:style w:type="paragraph" w:customStyle="1" w:styleId="DividerSectionNumber">
    <w:name w:val="Divider Section Number"/>
    <w:basedOn w:val="BodyText"/>
    <w:next w:val="BodyText"/>
    <w:semiHidden/>
    <w:unhideWhenUsed/>
    <w:rsid w:val="00B55307"/>
    <w:pPr>
      <w:spacing w:before="360" w:after="360" w:line="2400" w:lineRule="atLeast"/>
      <w:jc w:val="right"/>
    </w:pPr>
    <w:rPr>
      <w:rFonts w:asciiTheme="majorHAnsi" w:hAnsiTheme="majorHAnsi"/>
      <w:color w:val="FFFFFF" w:themeColor="background1"/>
      <w:sz w:val="200"/>
    </w:rPr>
  </w:style>
  <w:style w:type="paragraph" w:customStyle="1" w:styleId="DividerSectionNumberSmall">
    <w:name w:val="Divider Section Number (Small)"/>
    <w:basedOn w:val="Normal"/>
    <w:next w:val="BodyText"/>
    <w:semiHidden/>
    <w:unhideWhenUsed/>
    <w:rsid w:val="00DD3356"/>
    <w:pPr>
      <w:spacing w:before="360" w:after="360" w:line="1440" w:lineRule="atLeast"/>
      <w:jc w:val="right"/>
    </w:pPr>
    <w:rPr>
      <w:rFonts w:asciiTheme="majorHAnsi" w:hAnsiTheme="majorHAnsi"/>
      <w:b/>
      <w:color w:val="008768" w:themeColor="accent1"/>
      <w:sz w:val="120"/>
    </w:rPr>
  </w:style>
  <w:style w:type="table" w:styleId="TableGrid">
    <w:name w:val="Table Grid"/>
    <w:basedOn w:val="TableNormal"/>
    <w:uiPriority w:val="59"/>
    <w:unhideWhenUsed/>
    <w:rsid w:val="00364FD7"/>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
    <w:name w:val="AECOM table"/>
    <w:basedOn w:val="TableNormal"/>
    <w:uiPriority w:val="99"/>
    <w:unhideWhenUsed/>
    <w:rsid w:val="00A87D6A"/>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8768" w:themeColor="accent1"/>
        <w:sz w:val="16"/>
      </w:rPr>
      <w:tblPr/>
      <w:tcPr>
        <w:tcBorders>
          <w:top w:val="nil"/>
          <w:left w:val="nil"/>
          <w:bottom w:val="single" w:sz="12" w:space="0" w:color="008768" w:themeColor="accent1"/>
          <w:right w:val="nil"/>
          <w:insideH w:val="nil"/>
          <w:insideV w:val="nil"/>
          <w:tl2br w:val="nil"/>
          <w:tr2bl w:val="nil"/>
        </w:tcBorders>
      </w:tcPr>
    </w:tblStylePr>
  </w:style>
  <w:style w:type="paragraph" w:styleId="Caption">
    <w:name w:val="caption"/>
    <w:basedOn w:val="Normal"/>
    <w:next w:val="BodyText"/>
    <w:uiPriority w:val="35"/>
    <w:qFormat/>
    <w:rsid w:val="0027157D"/>
    <w:pPr>
      <w:keepNext/>
      <w:spacing w:after="120"/>
    </w:pPr>
    <w:rPr>
      <w:rFonts w:asciiTheme="majorHAnsi" w:hAnsiTheme="majorHAnsi"/>
      <w:b/>
      <w:bCs/>
      <w:noProof/>
      <w:color w:val="00353E"/>
    </w:rPr>
  </w:style>
  <w:style w:type="paragraph" w:customStyle="1" w:styleId="Source">
    <w:name w:val="Source"/>
    <w:basedOn w:val="BodyText"/>
    <w:link w:val="SourceChar"/>
    <w:qFormat/>
    <w:rsid w:val="00CC131A"/>
    <w:pPr>
      <w:tabs>
        <w:tab w:val="left" w:pos="0"/>
      </w:tabs>
      <w:ind w:left="-42"/>
    </w:pPr>
    <w:rPr>
      <w:i/>
      <w:sz w:val="18"/>
      <w:szCs w:val="12"/>
    </w:rPr>
  </w:style>
  <w:style w:type="paragraph" w:styleId="FootnoteText">
    <w:name w:val="footnote text"/>
    <w:basedOn w:val="Normal"/>
    <w:link w:val="FootnoteTextChar"/>
    <w:uiPriority w:val="99"/>
    <w:unhideWhenUsed/>
    <w:qFormat/>
    <w:rsid w:val="001648C2"/>
    <w:pPr>
      <w:spacing w:line="240" w:lineRule="auto"/>
      <w:ind w:left="142" w:hanging="142"/>
    </w:pPr>
    <w:rPr>
      <w:sz w:val="16"/>
      <w:szCs w:val="20"/>
    </w:rPr>
  </w:style>
  <w:style w:type="character" w:customStyle="1" w:styleId="FootnoteTextChar">
    <w:name w:val="Footnote Text Char"/>
    <w:basedOn w:val="DefaultParagraphFont"/>
    <w:link w:val="FootnoteText"/>
    <w:uiPriority w:val="99"/>
    <w:rsid w:val="001648C2"/>
    <w:rPr>
      <w:kern w:val="18"/>
      <w:sz w:val="16"/>
      <w:szCs w:val="20"/>
    </w:rPr>
  </w:style>
  <w:style w:type="character" w:styleId="FootnoteReference">
    <w:name w:val="footnote reference"/>
    <w:basedOn w:val="DefaultParagraphFont"/>
    <w:uiPriority w:val="99"/>
    <w:unhideWhenUsed/>
    <w:rsid w:val="00F27E4A"/>
    <w:rPr>
      <w:rFonts w:asciiTheme="majorHAnsi" w:hAnsiTheme="majorHAnsi"/>
      <w:color w:val="auto"/>
      <w:vertAlign w:val="superscript"/>
    </w:rPr>
  </w:style>
  <w:style w:type="paragraph" w:customStyle="1" w:styleId="Appendix">
    <w:name w:val="Appendix"/>
    <w:basedOn w:val="Heading1"/>
    <w:next w:val="BodyText"/>
    <w:uiPriority w:val="6"/>
    <w:qFormat/>
    <w:rsid w:val="006A3705"/>
    <w:pPr>
      <w:pageBreakBefore/>
      <w:numPr>
        <w:numId w:val="21"/>
      </w:numPr>
    </w:pPr>
  </w:style>
  <w:style w:type="character" w:styleId="Hyperlink">
    <w:name w:val="Hyperlink"/>
    <w:basedOn w:val="DefaultParagraphFont"/>
    <w:uiPriority w:val="99"/>
    <w:qFormat/>
    <w:rsid w:val="00F15F1A"/>
    <w:rPr>
      <w:color w:val="008768" w:themeColor="accent1"/>
      <w:u w:val="single"/>
    </w:rPr>
  </w:style>
  <w:style w:type="character" w:styleId="FollowedHyperlink">
    <w:name w:val="FollowedHyperlink"/>
    <w:basedOn w:val="DefaultParagraphFont"/>
    <w:uiPriority w:val="27"/>
    <w:qFormat/>
    <w:rsid w:val="00F15F1A"/>
    <w:rPr>
      <w:color w:val="00353E" w:themeColor="accent2"/>
      <w:u w:val="single"/>
    </w:rPr>
  </w:style>
  <w:style w:type="table" w:styleId="ColourfulGrid">
    <w:name w:val="Colorful Grid"/>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B4FFED" w:themeFill="accent1" w:themeFillTint="33"/>
    </w:tcPr>
    <w:tblStylePr w:type="firstRow">
      <w:rPr>
        <w:b/>
        <w:bCs/>
      </w:rPr>
      <w:tblPr/>
      <w:tcPr>
        <w:shd w:val="clear" w:color="auto" w:fill="69FFDC" w:themeFill="accent1" w:themeFillTint="66"/>
      </w:tcPr>
    </w:tblStylePr>
    <w:tblStylePr w:type="lastRow">
      <w:rPr>
        <w:b/>
        <w:bCs/>
        <w:color w:val="000000" w:themeColor="text1"/>
      </w:rPr>
      <w:tblPr/>
      <w:tcPr>
        <w:shd w:val="clear" w:color="auto" w:fill="69FFDC" w:themeFill="accent1" w:themeFillTint="66"/>
      </w:tcPr>
    </w:tblStylePr>
    <w:tblStylePr w:type="firstCol">
      <w:rPr>
        <w:color w:val="FFFFFF" w:themeColor="background1"/>
      </w:rPr>
      <w:tblPr/>
      <w:tcPr>
        <w:shd w:val="clear" w:color="auto" w:fill="00654D" w:themeFill="accent1" w:themeFillShade="BF"/>
      </w:tcPr>
    </w:tblStylePr>
    <w:tblStylePr w:type="lastCol">
      <w:rPr>
        <w:color w:val="FFFFFF" w:themeColor="background1"/>
      </w:rPr>
      <w:tblPr/>
      <w:tcPr>
        <w:shd w:val="clear" w:color="auto" w:fill="00654D" w:themeFill="accent1" w:themeFillShade="BF"/>
      </w:tcPr>
    </w:tblStylePr>
    <w:tblStylePr w:type="band1Vert">
      <w:tblPr/>
      <w:tcPr>
        <w:shd w:val="clear" w:color="auto" w:fill="44FFD3" w:themeFill="accent1" w:themeFillTint="7F"/>
      </w:tcPr>
    </w:tblStylePr>
    <w:tblStylePr w:type="band1Horz">
      <w:tblPr/>
      <w:tcPr>
        <w:shd w:val="clear" w:color="auto" w:fill="44FFD3" w:themeFill="accent1" w:themeFillTint="7F"/>
      </w:tcPr>
    </w:tblStylePr>
  </w:style>
  <w:style w:type="table" w:styleId="ColourfulGridAccent2">
    <w:name w:val="Colorful Grid Accent 2"/>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A5F1FF" w:themeFill="accent2" w:themeFillTint="33"/>
    </w:tcPr>
    <w:tblStylePr w:type="firstRow">
      <w:rPr>
        <w:b/>
        <w:bCs/>
      </w:rPr>
      <w:tblPr/>
      <w:tcPr>
        <w:shd w:val="clear" w:color="auto" w:fill="4BE4FF" w:themeFill="accent2" w:themeFillTint="66"/>
      </w:tcPr>
    </w:tblStylePr>
    <w:tblStylePr w:type="lastRow">
      <w:rPr>
        <w:b/>
        <w:bCs/>
        <w:color w:val="000000" w:themeColor="text1"/>
      </w:rPr>
      <w:tblPr/>
      <w:tcPr>
        <w:shd w:val="clear" w:color="auto" w:fill="4BE4FF" w:themeFill="accent2" w:themeFillTint="66"/>
      </w:tcPr>
    </w:tblStylePr>
    <w:tblStylePr w:type="firstCol">
      <w:rPr>
        <w:color w:val="FFFFFF" w:themeColor="background1"/>
      </w:rPr>
      <w:tblPr/>
      <w:tcPr>
        <w:shd w:val="clear" w:color="auto" w:fill="00272E" w:themeFill="accent2" w:themeFillShade="BF"/>
      </w:tcPr>
    </w:tblStylePr>
    <w:tblStylePr w:type="lastCol">
      <w:rPr>
        <w:color w:val="FFFFFF" w:themeColor="background1"/>
      </w:rPr>
      <w:tblPr/>
      <w:tcPr>
        <w:shd w:val="clear" w:color="auto" w:fill="00272E" w:themeFill="accent2" w:themeFillShade="BF"/>
      </w:tcPr>
    </w:tblStylePr>
    <w:tblStylePr w:type="band1Vert">
      <w:tblPr/>
      <w:tcPr>
        <w:shd w:val="clear" w:color="auto" w:fill="1FDDFF" w:themeFill="accent2" w:themeFillTint="7F"/>
      </w:tcPr>
    </w:tblStylePr>
    <w:tblStylePr w:type="band1Horz">
      <w:tblPr/>
      <w:tcPr>
        <w:shd w:val="clear" w:color="auto" w:fill="1FDDFF" w:themeFill="accent2" w:themeFillTint="7F"/>
      </w:tcPr>
    </w:tblStylePr>
  </w:style>
  <w:style w:type="table" w:styleId="ColourfulGridAccent3">
    <w:name w:val="Colorful Grid Accent 3"/>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EEF4DC" w:themeFill="accent3" w:themeFillTint="33"/>
    </w:tcPr>
    <w:tblStylePr w:type="firstRow">
      <w:rPr>
        <w:b/>
        <w:bCs/>
      </w:rPr>
      <w:tblPr/>
      <w:tcPr>
        <w:shd w:val="clear" w:color="auto" w:fill="DEEABA" w:themeFill="accent3" w:themeFillTint="66"/>
      </w:tcPr>
    </w:tblStylePr>
    <w:tblStylePr w:type="lastRow">
      <w:rPr>
        <w:b/>
        <w:bCs/>
        <w:color w:val="000000" w:themeColor="text1"/>
      </w:rPr>
      <w:tblPr/>
      <w:tcPr>
        <w:shd w:val="clear" w:color="auto" w:fill="DEEABA" w:themeFill="accent3" w:themeFillTint="66"/>
      </w:tcPr>
    </w:tblStylePr>
    <w:tblStylePr w:type="firstCol">
      <w:rPr>
        <w:color w:val="FFFFFF" w:themeColor="background1"/>
      </w:rPr>
      <w:tblPr/>
      <w:tcPr>
        <w:shd w:val="clear" w:color="auto" w:fill="88A531" w:themeFill="accent3" w:themeFillShade="BF"/>
      </w:tcPr>
    </w:tblStylePr>
    <w:tblStylePr w:type="lastCol">
      <w:rPr>
        <w:color w:val="FFFFFF" w:themeColor="background1"/>
      </w:rPr>
      <w:tblPr/>
      <w:tcPr>
        <w:shd w:val="clear" w:color="auto" w:fill="88A531" w:themeFill="accent3" w:themeFillShade="BF"/>
      </w:tcPr>
    </w:tblStylePr>
    <w:tblStylePr w:type="band1Vert">
      <w:tblPr/>
      <w:tcPr>
        <w:shd w:val="clear" w:color="auto" w:fill="D6E5A9" w:themeFill="accent3" w:themeFillTint="7F"/>
      </w:tcPr>
    </w:tblStylePr>
    <w:tblStylePr w:type="band1Horz">
      <w:tblPr/>
      <w:tcPr>
        <w:shd w:val="clear" w:color="auto" w:fill="D6E5A9" w:themeFill="accent3" w:themeFillTint="7F"/>
      </w:tcPr>
    </w:tblStylePr>
  </w:style>
  <w:style w:type="table" w:styleId="ColourfulGridAccent4">
    <w:name w:val="Colorful Grid Accent 4"/>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BD2CE" w:themeFill="accent4" w:themeFillTint="33"/>
    </w:tcPr>
    <w:tblStylePr w:type="firstRow">
      <w:rPr>
        <w:b/>
        <w:bCs/>
      </w:rPr>
      <w:tblPr/>
      <w:tcPr>
        <w:shd w:val="clear" w:color="auto" w:fill="F7A69E" w:themeFill="accent4" w:themeFillTint="66"/>
      </w:tcPr>
    </w:tblStylePr>
    <w:tblStylePr w:type="lastRow">
      <w:rPr>
        <w:b/>
        <w:bCs/>
        <w:color w:val="000000" w:themeColor="text1"/>
      </w:rPr>
      <w:tblPr/>
      <w:tcPr>
        <w:shd w:val="clear" w:color="auto" w:fill="F7A69E" w:themeFill="accent4" w:themeFillTint="66"/>
      </w:tcPr>
    </w:tblStylePr>
    <w:tblStylePr w:type="firstCol">
      <w:rPr>
        <w:color w:val="FFFFFF" w:themeColor="background1"/>
      </w:rPr>
      <w:tblPr/>
      <w:tcPr>
        <w:shd w:val="clear" w:color="auto" w:fill="AB1D0E" w:themeFill="accent4" w:themeFillShade="BF"/>
      </w:tcPr>
    </w:tblStylePr>
    <w:tblStylePr w:type="lastCol">
      <w:rPr>
        <w:color w:val="FFFFFF" w:themeColor="background1"/>
      </w:rPr>
      <w:tblPr/>
      <w:tcPr>
        <w:shd w:val="clear" w:color="auto" w:fill="AB1D0E" w:themeFill="accent4" w:themeFillShade="BF"/>
      </w:tcPr>
    </w:tblStylePr>
    <w:tblStylePr w:type="band1Vert">
      <w:tblPr/>
      <w:tcPr>
        <w:shd w:val="clear" w:color="auto" w:fill="F59086" w:themeFill="accent4" w:themeFillTint="7F"/>
      </w:tcPr>
    </w:tblStylePr>
    <w:tblStylePr w:type="band1Horz">
      <w:tblPr/>
      <w:tcPr>
        <w:shd w:val="clear" w:color="auto" w:fill="F59086" w:themeFill="accent4" w:themeFillTint="7F"/>
      </w:tcPr>
    </w:tblStylePr>
  </w:style>
  <w:style w:type="table" w:styleId="ColourfulGridAccent5">
    <w:name w:val="Colorful Grid Accent 5"/>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B8FEFF" w:themeFill="accent5" w:themeFillTint="33"/>
    </w:tcPr>
    <w:tblStylePr w:type="firstRow">
      <w:rPr>
        <w:b/>
        <w:bCs/>
      </w:rPr>
      <w:tblPr/>
      <w:tcPr>
        <w:shd w:val="clear" w:color="auto" w:fill="71FDFF" w:themeFill="accent5" w:themeFillTint="66"/>
      </w:tcPr>
    </w:tblStylePr>
    <w:tblStylePr w:type="lastRow">
      <w:rPr>
        <w:b/>
        <w:bCs/>
        <w:color w:val="000000" w:themeColor="text1"/>
      </w:rPr>
      <w:tblPr/>
      <w:tcPr>
        <w:shd w:val="clear" w:color="auto" w:fill="71FDFF" w:themeFill="accent5" w:themeFillTint="66"/>
      </w:tcPr>
    </w:tblStylePr>
    <w:tblStylePr w:type="firstCol">
      <w:rPr>
        <w:color w:val="FFFFFF" w:themeColor="background1"/>
      </w:rPr>
      <w:tblPr/>
      <w:tcPr>
        <w:shd w:val="clear" w:color="auto" w:fill="007374" w:themeFill="accent5" w:themeFillShade="BF"/>
      </w:tcPr>
    </w:tblStylePr>
    <w:tblStylePr w:type="lastCol">
      <w:rPr>
        <w:color w:val="FFFFFF" w:themeColor="background1"/>
      </w:rPr>
      <w:tblPr/>
      <w:tcPr>
        <w:shd w:val="clear" w:color="auto" w:fill="007374" w:themeFill="accent5" w:themeFillShade="BF"/>
      </w:tcPr>
    </w:tblStylePr>
    <w:tblStylePr w:type="band1Vert">
      <w:tblPr/>
      <w:tcPr>
        <w:shd w:val="clear" w:color="auto" w:fill="4EFDFF" w:themeFill="accent5" w:themeFillTint="7F"/>
      </w:tcPr>
    </w:tblStylePr>
    <w:tblStylePr w:type="band1Horz">
      <w:tblPr/>
      <w:tcPr>
        <w:shd w:val="clear" w:color="auto" w:fill="4EFDFF" w:themeFill="accent5" w:themeFillTint="7F"/>
      </w:tcPr>
    </w:tblStylePr>
  </w:style>
  <w:style w:type="table" w:styleId="ColourfulGridAccent6">
    <w:name w:val="Colorful Grid Accent 6"/>
    <w:basedOn w:val="TableNormal"/>
    <w:uiPriority w:val="73"/>
    <w:semiHidden/>
    <w:unhideWhenUsed/>
    <w:rsid w:val="009E6ED7"/>
    <w:rPr>
      <w:color w:val="000000" w:themeColor="text1"/>
    </w:rPr>
    <w:tblPr>
      <w:tblStyleRowBandSize w:val="1"/>
      <w:tblStyleColBandSize w:val="1"/>
      <w:tblBorders>
        <w:insideH w:val="single" w:sz="4" w:space="0" w:color="FFFFFF" w:themeColor="background1"/>
      </w:tblBorders>
    </w:tblPr>
    <w:tcPr>
      <w:shd w:val="clear" w:color="auto" w:fill="FFF5CC" w:themeFill="accent6" w:themeFillTint="33"/>
    </w:tcPr>
    <w:tblStylePr w:type="firstRow">
      <w:rPr>
        <w:b/>
        <w:bCs/>
      </w:rPr>
      <w:tblPr/>
      <w:tcPr>
        <w:shd w:val="clear" w:color="auto" w:fill="FFEB99" w:themeFill="accent6" w:themeFillTint="66"/>
      </w:tcPr>
    </w:tblStylePr>
    <w:tblStylePr w:type="lastRow">
      <w:rPr>
        <w:b/>
        <w:bCs/>
        <w:color w:val="000000" w:themeColor="text1"/>
      </w:rPr>
      <w:tblPr/>
      <w:tcPr>
        <w:shd w:val="clear" w:color="auto" w:fill="FFEB99" w:themeFill="accent6" w:themeFillTint="66"/>
      </w:tcPr>
    </w:tblStylePr>
    <w:tblStylePr w:type="firstCol">
      <w:rPr>
        <w:color w:val="FFFFFF" w:themeColor="background1"/>
      </w:rPr>
      <w:tblPr/>
      <w:tcPr>
        <w:shd w:val="clear" w:color="auto" w:fill="BF9A00" w:themeFill="accent6" w:themeFillShade="BF"/>
      </w:tcPr>
    </w:tblStylePr>
    <w:tblStylePr w:type="lastCol">
      <w:rPr>
        <w:color w:val="FFFFFF" w:themeColor="background1"/>
      </w:rPr>
      <w:tblPr/>
      <w:tcPr>
        <w:shd w:val="clear" w:color="auto" w:fill="BF9A00" w:themeFill="accent6" w:themeFillShade="BF"/>
      </w:tcPr>
    </w:tblStylePr>
    <w:tblStylePr w:type="band1Vert">
      <w:tblPr/>
      <w:tcPr>
        <w:shd w:val="clear" w:color="auto" w:fill="FFE680" w:themeFill="accent6" w:themeFillTint="7F"/>
      </w:tcPr>
    </w:tblStylePr>
    <w:tblStylePr w:type="band1Horz">
      <w:tblPr/>
      <w:tcPr>
        <w:shd w:val="clear" w:color="auto" w:fill="FFE680" w:themeFill="accent6" w:themeFillTint="7F"/>
      </w:tcPr>
    </w:tblStylePr>
  </w:style>
  <w:style w:type="table" w:styleId="ColourfulList">
    <w:name w:val="Colorful List"/>
    <w:basedOn w:val="TableNormal"/>
    <w:uiPriority w:val="72"/>
    <w:semiHidden/>
    <w:unhideWhenUsed/>
    <w:rsid w:val="009E6ED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9E6ED7"/>
    <w:rPr>
      <w:color w:val="000000" w:themeColor="text1"/>
    </w:rPr>
    <w:tblPr>
      <w:tblStyleRowBandSize w:val="1"/>
      <w:tblStyleColBandSize w:val="1"/>
    </w:tblPr>
    <w:tcPr>
      <w:shd w:val="clear" w:color="auto" w:fill="DAFFF6" w:themeFill="accent1"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E9" w:themeFill="accent1" w:themeFillTint="3F"/>
      </w:tcPr>
    </w:tblStylePr>
    <w:tblStylePr w:type="band1Horz">
      <w:tblPr/>
      <w:tcPr>
        <w:shd w:val="clear" w:color="auto" w:fill="B4FFED" w:themeFill="accent1" w:themeFillTint="33"/>
      </w:tcPr>
    </w:tblStylePr>
  </w:style>
  <w:style w:type="table" w:styleId="ColourfulListAccent2">
    <w:name w:val="Colorful List Accent 2"/>
    <w:basedOn w:val="TableNormal"/>
    <w:uiPriority w:val="72"/>
    <w:semiHidden/>
    <w:unhideWhenUsed/>
    <w:rsid w:val="009E6ED7"/>
    <w:rPr>
      <w:color w:val="000000" w:themeColor="text1"/>
    </w:rPr>
    <w:tblPr>
      <w:tblStyleRowBandSize w:val="1"/>
      <w:tblStyleColBandSize w:val="1"/>
    </w:tblPr>
    <w:tcPr>
      <w:shd w:val="clear" w:color="auto" w:fill="D3F8FF" w:themeFill="accent2"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EFF" w:themeFill="accent2" w:themeFillTint="3F"/>
      </w:tcPr>
    </w:tblStylePr>
    <w:tblStylePr w:type="band1Horz">
      <w:tblPr/>
      <w:tcPr>
        <w:shd w:val="clear" w:color="auto" w:fill="A5F1FF" w:themeFill="accent2" w:themeFillTint="33"/>
      </w:tcPr>
    </w:tblStylePr>
  </w:style>
  <w:style w:type="table" w:styleId="ColourfulListAccent3">
    <w:name w:val="Colorful List Accent 3"/>
    <w:basedOn w:val="TableNormal"/>
    <w:uiPriority w:val="72"/>
    <w:semiHidden/>
    <w:unhideWhenUsed/>
    <w:rsid w:val="009E6ED7"/>
    <w:rPr>
      <w:color w:val="000000" w:themeColor="text1"/>
    </w:rPr>
    <w:tblPr>
      <w:tblStyleRowBandSize w:val="1"/>
      <w:tblStyleColBandSize w:val="1"/>
    </w:tblPr>
    <w:tcPr>
      <w:shd w:val="clear" w:color="auto" w:fill="F6FAEE" w:themeFill="accent3" w:themeFillTint="19"/>
    </w:tcPr>
    <w:tblStylePr w:type="firstRow">
      <w:rPr>
        <w:b/>
        <w:bCs/>
        <w:color w:val="FFFFFF" w:themeColor="background1"/>
      </w:rPr>
      <w:tblPr/>
      <w:tcPr>
        <w:tcBorders>
          <w:bottom w:val="single" w:sz="12" w:space="0" w:color="FFFFFF" w:themeColor="background1"/>
        </w:tcBorders>
        <w:shd w:val="clear" w:color="auto" w:fill="B71F0F" w:themeFill="accent4" w:themeFillShade="CC"/>
      </w:tcPr>
    </w:tblStylePr>
    <w:tblStylePr w:type="lastRow">
      <w:rPr>
        <w:b/>
        <w:bCs/>
        <w:color w:val="B71F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2D4" w:themeFill="accent3" w:themeFillTint="3F"/>
      </w:tcPr>
    </w:tblStylePr>
    <w:tblStylePr w:type="band1Horz">
      <w:tblPr/>
      <w:tcPr>
        <w:shd w:val="clear" w:color="auto" w:fill="EEF4DC" w:themeFill="accent3" w:themeFillTint="33"/>
      </w:tcPr>
    </w:tblStylePr>
  </w:style>
  <w:style w:type="table" w:styleId="ColourfulListAccent4">
    <w:name w:val="Colorful List Accent 4"/>
    <w:basedOn w:val="TableNormal"/>
    <w:uiPriority w:val="72"/>
    <w:semiHidden/>
    <w:unhideWhenUsed/>
    <w:rsid w:val="009E6ED7"/>
    <w:rPr>
      <w:color w:val="000000" w:themeColor="text1"/>
    </w:rPr>
    <w:tblPr>
      <w:tblStyleRowBandSize w:val="1"/>
      <w:tblStyleColBandSize w:val="1"/>
    </w:tblPr>
    <w:tcPr>
      <w:shd w:val="clear" w:color="auto" w:fill="FDE8E6" w:themeFill="accent4" w:themeFillTint="19"/>
    </w:tcPr>
    <w:tblStylePr w:type="firstRow">
      <w:rPr>
        <w:b/>
        <w:bCs/>
        <w:color w:val="FFFFFF" w:themeColor="background1"/>
      </w:rPr>
      <w:tblPr/>
      <w:tcPr>
        <w:tcBorders>
          <w:bottom w:val="single" w:sz="12" w:space="0" w:color="FFFFFF" w:themeColor="background1"/>
        </w:tcBorders>
        <w:shd w:val="clear" w:color="auto" w:fill="91B034" w:themeFill="accent3" w:themeFillShade="CC"/>
      </w:tcPr>
    </w:tblStylePr>
    <w:tblStylePr w:type="lastRow">
      <w:rPr>
        <w:b/>
        <w:bCs/>
        <w:color w:val="91B03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8C2" w:themeFill="accent4" w:themeFillTint="3F"/>
      </w:tcPr>
    </w:tblStylePr>
    <w:tblStylePr w:type="band1Horz">
      <w:tblPr/>
      <w:tcPr>
        <w:shd w:val="clear" w:color="auto" w:fill="FBD2CE" w:themeFill="accent4" w:themeFillTint="33"/>
      </w:tcPr>
    </w:tblStylePr>
  </w:style>
  <w:style w:type="table" w:styleId="ColourfulListAccent5">
    <w:name w:val="Colorful List Accent 5"/>
    <w:basedOn w:val="TableNormal"/>
    <w:uiPriority w:val="72"/>
    <w:semiHidden/>
    <w:unhideWhenUsed/>
    <w:rsid w:val="009E6ED7"/>
    <w:rPr>
      <w:color w:val="000000" w:themeColor="text1"/>
    </w:rPr>
    <w:tblPr>
      <w:tblStyleRowBandSize w:val="1"/>
      <w:tblStyleColBandSize w:val="1"/>
    </w:tblPr>
    <w:tcPr>
      <w:shd w:val="clear" w:color="auto" w:fill="DCFEFF" w:themeFill="accent5" w:themeFillTint="19"/>
    </w:tcPr>
    <w:tblStylePr w:type="firstRow">
      <w:rPr>
        <w:b/>
        <w:bCs/>
        <w:color w:val="FFFFFF" w:themeColor="background1"/>
      </w:rPr>
      <w:tblPr/>
      <w:tcPr>
        <w:tcBorders>
          <w:bottom w:val="single" w:sz="12" w:space="0" w:color="FFFFFF" w:themeColor="background1"/>
        </w:tcBorders>
        <w:shd w:val="clear" w:color="auto" w:fill="CCA400" w:themeFill="accent6" w:themeFillShade="CC"/>
      </w:tcPr>
    </w:tblStylePr>
    <w:tblStylePr w:type="lastRow">
      <w:rPr>
        <w:b/>
        <w:bCs/>
        <w:color w:val="CCA4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EFF" w:themeFill="accent5" w:themeFillTint="3F"/>
      </w:tcPr>
    </w:tblStylePr>
    <w:tblStylePr w:type="band1Horz">
      <w:tblPr/>
      <w:tcPr>
        <w:shd w:val="clear" w:color="auto" w:fill="B8FEFF" w:themeFill="accent5" w:themeFillTint="33"/>
      </w:tcPr>
    </w:tblStylePr>
  </w:style>
  <w:style w:type="table" w:styleId="ColourfulListAccent6">
    <w:name w:val="Colorful List Accent 6"/>
    <w:basedOn w:val="TableNormal"/>
    <w:uiPriority w:val="72"/>
    <w:semiHidden/>
    <w:unhideWhenUsed/>
    <w:rsid w:val="009E6ED7"/>
    <w:rPr>
      <w:color w:val="000000" w:themeColor="text1"/>
    </w:rPr>
    <w:tblPr>
      <w:tblStyleRowBandSize w:val="1"/>
      <w:tblStyleColBandSize w:val="1"/>
    </w:tblPr>
    <w:tcPr>
      <w:shd w:val="clear" w:color="auto" w:fill="FFFAE6" w:themeFill="accent6" w:themeFillTint="19"/>
    </w:tcPr>
    <w:tblStylePr w:type="firstRow">
      <w:rPr>
        <w:b/>
        <w:bCs/>
        <w:color w:val="FFFFFF" w:themeColor="background1"/>
      </w:rPr>
      <w:tblPr/>
      <w:tcPr>
        <w:tcBorders>
          <w:bottom w:val="single" w:sz="12" w:space="0" w:color="FFFFFF" w:themeColor="background1"/>
        </w:tcBorders>
        <w:shd w:val="clear" w:color="auto" w:fill="007B7C" w:themeFill="accent5" w:themeFillShade="CC"/>
      </w:tcPr>
    </w:tblStylePr>
    <w:tblStylePr w:type="lastRow">
      <w:rPr>
        <w:b/>
        <w:bCs/>
        <w:color w:val="007B7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6" w:themeFillTint="3F"/>
      </w:tcPr>
    </w:tblStylePr>
    <w:tblStylePr w:type="band1Horz">
      <w:tblPr/>
      <w:tcPr>
        <w:shd w:val="clear" w:color="auto" w:fill="FFF5CC" w:themeFill="accent6" w:themeFillTint="33"/>
      </w:tcPr>
    </w:tblStylePr>
  </w:style>
  <w:style w:type="table" w:styleId="ColourfulShading">
    <w:name w:val="Colorful Shading"/>
    <w:basedOn w:val="TableNormal"/>
    <w:uiPriority w:val="71"/>
    <w:semiHidden/>
    <w:unhideWhenUsed/>
    <w:rsid w:val="009E6ED7"/>
    <w:rPr>
      <w:color w:val="000000" w:themeColor="text1"/>
    </w:rPr>
    <w:tblPr>
      <w:tblStyleRowBandSize w:val="1"/>
      <w:tblStyleColBandSize w:val="1"/>
      <w:tblBorders>
        <w:top w:val="single" w:sz="24" w:space="0" w:color="00353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9E6ED7"/>
    <w:rPr>
      <w:color w:val="000000" w:themeColor="text1"/>
    </w:rPr>
    <w:tblPr>
      <w:tblStyleRowBandSize w:val="1"/>
      <w:tblStyleColBandSize w:val="1"/>
      <w:tblBorders>
        <w:top w:val="single" w:sz="24" w:space="0" w:color="00353E" w:themeColor="accent2"/>
        <w:left w:val="single" w:sz="4" w:space="0" w:color="008768" w:themeColor="accent1"/>
        <w:bottom w:val="single" w:sz="4" w:space="0" w:color="008768" w:themeColor="accent1"/>
        <w:right w:val="single" w:sz="4" w:space="0" w:color="008768" w:themeColor="accent1"/>
        <w:insideH w:val="single" w:sz="4" w:space="0" w:color="FFFFFF" w:themeColor="background1"/>
        <w:insideV w:val="single" w:sz="4" w:space="0" w:color="FFFFFF" w:themeColor="background1"/>
      </w:tblBorders>
    </w:tblPr>
    <w:tcPr>
      <w:shd w:val="clear" w:color="auto" w:fill="DAFFF6" w:themeFill="accent1"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13E" w:themeFill="accent1" w:themeFillShade="99"/>
      </w:tcPr>
    </w:tblStylePr>
    <w:tblStylePr w:type="firstCol">
      <w:rPr>
        <w:color w:val="FFFFFF" w:themeColor="background1"/>
      </w:rPr>
      <w:tblPr/>
      <w:tcPr>
        <w:tcBorders>
          <w:top w:val="nil"/>
          <w:left w:val="nil"/>
          <w:bottom w:val="nil"/>
          <w:right w:val="nil"/>
          <w:insideH w:val="single" w:sz="4" w:space="0" w:color="00513E" w:themeColor="accent1" w:themeShade="99"/>
          <w:insideV w:val="nil"/>
        </w:tcBorders>
        <w:shd w:val="clear" w:color="auto" w:fill="0051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13E" w:themeFill="accent1" w:themeFillShade="99"/>
      </w:tcPr>
    </w:tblStylePr>
    <w:tblStylePr w:type="band1Vert">
      <w:tblPr/>
      <w:tcPr>
        <w:shd w:val="clear" w:color="auto" w:fill="69FFDC" w:themeFill="accent1" w:themeFillTint="66"/>
      </w:tcPr>
    </w:tblStylePr>
    <w:tblStylePr w:type="band1Horz">
      <w:tblPr/>
      <w:tcPr>
        <w:shd w:val="clear" w:color="auto" w:fill="44FFD3"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9E6ED7"/>
    <w:rPr>
      <w:color w:val="000000" w:themeColor="text1"/>
    </w:rPr>
    <w:tblPr>
      <w:tblStyleRowBandSize w:val="1"/>
      <w:tblStyleColBandSize w:val="1"/>
      <w:tblBorders>
        <w:top w:val="single" w:sz="24" w:space="0" w:color="00353E" w:themeColor="accent2"/>
        <w:left w:val="single" w:sz="4" w:space="0" w:color="00353E" w:themeColor="accent2"/>
        <w:bottom w:val="single" w:sz="4" w:space="0" w:color="00353E" w:themeColor="accent2"/>
        <w:right w:val="single" w:sz="4" w:space="0" w:color="00353E" w:themeColor="accent2"/>
        <w:insideH w:val="single" w:sz="4" w:space="0" w:color="FFFFFF" w:themeColor="background1"/>
        <w:insideV w:val="single" w:sz="4" w:space="0" w:color="FFFFFF" w:themeColor="background1"/>
      </w:tblBorders>
    </w:tblPr>
    <w:tcPr>
      <w:shd w:val="clear" w:color="auto" w:fill="D3F8FF" w:themeFill="accent2"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25" w:themeFill="accent2" w:themeFillShade="99"/>
      </w:tcPr>
    </w:tblStylePr>
    <w:tblStylePr w:type="firstCol">
      <w:rPr>
        <w:color w:val="FFFFFF" w:themeColor="background1"/>
      </w:rPr>
      <w:tblPr/>
      <w:tcPr>
        <w:tcBorders>
          <w:top w:val="nil"/>
          <w:left w:val="nil"/>
          <w:bottom w:val="nil"/>
          <w:right w:val="nil"/>
          <w:insideH w:val="single" w:sz="4" w:space="0" w:color="001F25" w:themeColor="accent2" w:themeShade="99"/>
          <w:insideV w:val="nil"/>
        </w:tcBorders>
        <w:shd w:val="clear" w:color="auto" w:fill="001F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F25" w:themeFill="accent2" w:themeFillShade="99"/>
      </w:tcPr>
    </w:tblStylePr>
    <w:tblStylePr w:type="band1Vert">
      <w:tblPr/>
      <w:tcPr>
        <w:shd w:val="clear" w:color="auto" w:fill="4BE4FF" w:themeFill="accent2" w:themeFillTint="66"/>
      </w:tcPr>
    </w:tblStylePr>
    <w:tblStylePr w:type="band1Horz">
      <w:tblPr/>
      <w:tcPr>
        <w:shd w:val="clear" w:color="auto" w:fill="1FDDFF"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9E6ED7"/>
    <w:rPr>
      <w:color w:val="000000" w:themeColor="text1"/>
    </w:rPr>
    <w:tblPr>
      <w:tblStyleRowBandSize w:val="1"/>
      <w:tblStyleColBandSize w:val="1"/>
      <w:tblBorders>
        <w:top w:val="single" w:sz="24" w:space="0" w:color="E52713" w:themeColor="accent4"/>
        <w:left w:val="single" w:sz="4" w:space="0" w:color="AECC53" w:themeColor="accent3"/>
        <w:bottom w:val="single" w:sz="4" w:space="0" w:color="AECC53" w:themeColor="accent3"/>
        <w:right w:val="single" w:sz="4" w:space="0" w:color="AECC53" w:themeColor="accent3"/>
        <w:insideH w:val="single" w:sz="4" w:space="0" w:color="FFFFFF" w:themeColor="background1"/>
        <w:insideV w:val="single" w:sz="4" w:space="0" w:color="FFFFFF" w:themeColor="background1"/>
      </w:tblBorders>
    </w:tblPr>
    <w:tcPr>
      <w:shd w:val="clear" w:color="auto" w:fill="F6FAEE" w:themeFill="accent3" w:themeFillTint="19"/>
    </w:tcPr>
    <w:tblStylePr w:type="firstRow">
      <w:rPr>
        <w:b/>
        <w:bCs/>
      </w:rPr>
      <w:tblPr/>
      <w:tcPr>
        <w:tcBorders>
          <w:top w:val="nil"/>
          <w:left w:val="nil"/>
          <w:bottom w:val="single" w:sz="24" w:space="0" w:color="E5271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8427" w:themeFill="accent3" w:themeFillShade="99"/>
      </w:tcPr>
    </w:tblStylePr>
    <w:tblStylePr w:type="firstCol">
      <w:rPr>
        <w:color w:val="FFFFFF" w:themeColor="background1"/>
      </w:rPr>
      <w:tblPr/>
      <w:tcPr>
        <w:tcBorders>
          <w:top w:val="nil"/>
          <w:left w:val="nil"/>
          <w:bottom w:val="nil"/>
          <w:right w:val="nil"/>
          <w:insideH w:val="single" w:sz="4" w:space="0" w:color="6D8427" w:themeColor="accent3" w:themeShade="99"/>
          <w:insideV w:val="nil"/>
        </w:tcBorders>
        <w:shd w:val="clear" w:color="auto" w:fill="6D842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D8427" w:themeFill="accent3" w:themeFillShade="99"/>
      </w:tcPr>
    </w:tblStylePr>
    <w:tblStylePr w:type="band1Vert">
      <w:tblPr/>
      <w:tcPr>
        <w:shd w:val="clear" w:color="auto" w:fill="DEEABA" w:themeFill="accent3" w:themeFillTint="66"/>
      </w:tcPr>
    </w:tblStylePr>
    <w:tblStylePr w:type="band1Horz">
      <w:tblPr/>
      <w:tcPr>
        <w:shd w:val="clear" w:color="auto" w:fill="D6E5A9" w:themeFill="accent3" w:themeFillTint="7F"/>
      </w:tcPr>
    </w:tblStylePr>
  </w:style>
  <w:style w:type="table" w:styleId="ColourfulShadingAccent4">
    <w:name w:val="Colorful Shading Accent 4"/>
    <w:basedOn w:val="TableNormal"/>
    <w:uiPriority w:val="71"/>
    <w:semiHidden/>
    <w:unhideWhenUsed/>
    <w:rsid w:val="009E6ED7"/>
    <w:rPr>
      <w:color w:val="000000" w:themeColor="text1"/>
    </w:rPr>
    <w:tblPr>
      <w:tblStyleRowBandSize w:val="1"/>
      <w:tblStyleColBandSize w:val="1"/>
      <w:tblBorders>
        <w:top w:val="single" w:sz="24" w:space="0" w:color="AECC53" w:themeColor="accent3"/>
        <w:left w:val="single" w:sz="4" w:space="0" w:color="E52713" w:themeColor="accent4"/>
        <w:bottom w:val="single" w:sz="4" w:space="0" w:color="E52713" w:themeColor="accent4"/>
        <w:right w:val="single" w:sz="4" w:space="0" w:color="E52713" w:themeColor="accent4"/>
        <w:insideH w:val="single" w:sz="4" w:space="0" w:color="FFFFFF" w:themeColor="background1"/>
        <w:insideV w:val="single" w:sz="4" w:space="0" w:color="FFFFFF" w:themeColor="background1"/>
      </w:tblBorders>
    </w:tblPr>
    <w:tcPr>
      <w:shd w:val="clear" w:color="auto" w:fill="FDE8E6" w:themeFill="accent4" w:themeFillTint="19"/>
    </w:tcPr>
    <w:tblStylePr w:type="firstRow">
      <w:rPr>
        <w:b/>
        <w:bCs/>
      </w:rPr>
      <w:tblPr/>
      <w:tcPr>
        <w:tcBorders>
          <w:top w:val="nil"/>
          <w:left w:val="nil"/>
          <w:bottom w:val="single" w:sz="24" w:space="0" w:color="AECC5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170B" w:themeFill="accent4" w:themeFillShade="99"/>
      </w:tcPr>
    </w:tblStylePr>
    <w:tblStylePr w:type="firstCol">
      <w:rPr>
        <w:color w:val="FFFFFF" w:themeColor="background1"/>
      </w:rPr>
      <w:tblPr/>
      <w:tcPr>
        <w:tcBorders>
          <w:top w:val="nil"/>
          <w:left w:val="nil"/>
          <w:bottom w:val="nil"/>
          <w:right w:val="nil"/>
          <w:insideH w:val="single" w:sz="4" w:space="0" w:color="89170B" w:themeColor="accent4" w:themeShade="99"/>
          <w:insideV w:val="nil"/>
        </w:tcBorders>
        <w:shd w:val="clear" w:color="auto" w:fill="8917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9170B" w:themeFill="accent4" w:themeFillShade="99"/>
      </w:tcPr>
    </w:tblStylePr>
    <w:tblStylePr w:type="band1Vert">
      <w:tblPr/>
      <w:tcPr>
        <w:shd w:val="clear" w:color="auto" w:fill="F7A69E" w:themeFill="accent4" w:themeFillTint="66"/>
      </w:tcPr>
    </w:tblStylePr>
    <w:tblStylePr w:type="band1Horz">
      <w:tblPr/>
      <w:tcPr>
        <w:shd w:val="clear" w:color="auto" w:fill="F59086"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9E6ED7"/>
    <w:rPr>
      <w:color w:val="000000" w:themeColor="text1"/>
    </w:rPr>
    <w:tblPr>
      <w:tblStyleRowBandSize w:val="1"/>
      <w:tblStyleColBandSize w:val="1"/>
      <w:tblBorders>
        <w:top w:val="single" w:sz="24" w:space="0" w:color="FFCE00" w:themeColor="accent6"/>
        <w:left w:val="single" w:sz="4" w:space="0" w:color="009A9B" w:themeColor="accent5"/>
        <w:bottom w:val="single" w:sz="4" w:space="0" w:color="009A9B" w:themeColor="accent5"/>
        <w:right w:val="single" w:sz="4" w:space="0" w:color="009A9B" w:themeColor="accent5"/>
        <w:insideH w:val="single" w:sz="4" w:space="0" w:color="FFFFFF" w:themeColor="background1"/>
        <w:insideV w:val="single" w:sz="4" w:space="0" w:color="FFFFFF" w:themeColor="background1"/>
      </w:tblBorders>
    </w:tblPr>
    <w:tcPr>
      <w:shd w:val="clear" w:color="auto" w:fill="DCFEFF" w:themeFill="accent5" w:themeFillTint="19"/>
    </w:tcPr>
    <w:tblStylePr w:type="firstRow">
      <w:rPr>
        <w:b/>
        <w:bCs/>
      </w:rPr>
      <w:tblPr/>
      <w:tcPr>
        <w:tcBorders>
          <w:top w:val="nil"/>
          <w:left w:val="nil"/>
          <w:bottom w:val="single" w:sz="24" w:space="0" w:color="FFCE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C5D" w:themeFill="accent5" w:themeFillShade="99"/>
      </w:tcPr>
    </w:tblStylePr>
    <w:tblStylePr w:type="firstCol">
      <w:rPr>
        <w:color w:val="FFFFFF" w:themeColor="background1"/>
      </w:rPr>
      <w:tblPr/>
      <w:tcPr>
        <w:tcBorders>
          <w:top w:val="nil"/>
          <w:left w:val="nil"/>
          <w:bottom w:val="nil"/>
          <w:right w:val="nil"/>
          <w:insideH w:val="single" w:sz="4" w:space="0" w:color="005C5D" w:themeColor="accent5" w:themeShade="99"/>
          <w:insideV w:val="nil"/>
        </w:tcBorders>
        <w:shd w:val="clear" w:color="auto" w:fill="005C5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C5D" w:themeFill="accent5" w:themeFillShade="99"/>
      </w:tcPr>
    </w:tblStylePr>
    <w:tblStylePr w:type="band1Vert">
      <w:tblPr/>
      <w:tcPr>
        <w:shd w:val="clear" w:color="auto" w:fill="71FDFF" w:themeFill="accent5" w:themeFillTint="66"/>
      </w:tcPr>
    </w:tblStylePr>
    <w:tblStylePr w:type="band1Horz">
      <w:tblPr/>
      <w:tcPr>
        <w:shd w:val="clear" w:color="auto" w:fill="4EFDFF"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unhideWhenUsed/>
    <w:rsid w:val="009E6ED7"/>
    <w:rPr>
      <w:color w:val="000000" w:themeColor="text1"/>
    </w:rPr>
    <w:tblPr>
      <w:tblStyleRowBandSize w:val="1"/>
      <w:tblStyleColBandSize w:val="1"/>
      <w:tblBorders>
        <w:top w:val="single" w:sz="24" w:space="0" w:color="009A9B" w:themeColor="accent5"/>
        <w:left w:val="single" w:sz="4" w:space="0" w:color="FFCE00" w:themeColor="accent6"/>
        <w:bottom w:val="single" w:sz="4" w:space="0" w:color="FFCE00" w:themeColor="accent6"/>
        <w:right w:val="single" w:sz="4" w:space="0" w:color="FFCE00" w:themeColor="accent6"/>
        <w:insideH w:val="single" w:sz="4" w:space="0" w:color="FFFFFF" w:themeColor="background1"/>
        <w:insideV w:val="single" w:sz="4" w:space="0" w:color="FFFFFF" w:themeColor="background1"/>
      </w:tblBorders>
    </w:tblPr>
    <w:tcPr>
      <w:shd w:val="clear" w:color="auto" w:fill="FFFAE6" w:themeFill="accent6" w:themeFillTint="19"/>
    </w:tcPr>
    <w:tblStylePr w:type="firstRow">
      <w:rPr>
        <w:b/>
        <w:bCs/>
      </w:rPr>
      <w:tblPr/>
      <w:tcPr>
        <w:tcBorders>
          <w:top w:val="nil"/>
          <w:left w:val="nil"/>
          <w:bottom w:val="single" w:sz="24" w:space="0" w:color="009A9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B00" w:themeFill="accent6" w:themeFillShade="99"/>
      </w:tcPr>
    </w:tblStylePr>
    <w:tblStylePr w:type="firstCol">
      <w:rPr>
        <w:color w:val="FFFFFF" w:themeColor="background1"/>
      </w:rPr>
      <w:tblPr/>
      <w:tcPr>
        <w:tcBorders>
          <w:top w:val="nil"/>
          <w:left w:val="nil"/>
          <w:bottom w:val="nil"/>
          <w:right w:val="nil"/>
          <w:insideH w:val="single" w:sz="4" w:space="0" w:color="997B00" w:themeColor="accent6" w:themeShade="99"/>
          <w:insideV w:val="nil"/>
        </w:tcBorders>
        <w:shd w:val="clear" w:color="auto" w:fill="997B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B00" w:themeFill="accent6" w:themeFillShade="99"/>
      </w:tcPr>
    </w:tblStylePr>
    <w:tblStylePr w:type="band1Vert">
      <w:tblPr/>
      <w:tcPr>
        <w:shd w:val="clear" w:color="auto" w:fill="FFEB99" w:themeFill="accent6" w:themeFillTint="66"/>
      </w:tcPr>
    </w:tblStylePr>
    <w:tblStylePr w:type="band1Horz">
      <w:tblPr/>
      <w:tcPr>
        <w:shd w:val="clear" w:color="auto" w:fill="FFE68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E6ED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E6ED7"/>
    <w:rPr>
      <w:color w:val="FFFFFF" w:themeColor="background1"/>
    </w:rPr>
    <w:tblPr>
      <w:tblStyleRowBandSize w:val="1"/>
      <w:tblStyleColBandSize w:val="1"/>
    </w:tblPr>
    <w:tcPr>
      <w:shd w:val="clear" w:color="auto" w:fill="00876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33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54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54D" w:themeFill="accent1" w:themeFillShade="BF"/>
      </w:tcPr>
    </w:tblStylePr>
    <w:tblStylePr w:type="band1Vert">
      <w:tblPr/>
      <w:tcPr>
        <w:tcBorders>
          <w:top w:val="nil"/>
          <w:left w:val="nil"/>
          <w:bottom w:val="nil"/>
          <w:right w:val="nil"/>
          <w:insideH w:val="nil"/>
          <w:insideV w:val="nil"/>
        </w:tcBorders>
        <w:shd w:val="clear" w:color="auto" w:fill="00654D" w:themeFill="accent1" w:themeFillShade="BF"/>
      </w:tcPr>
    </w:tblStylePr>
    <w:tblStylePr w:type="band1Horz">
      <w:tblPr/>
      <w:tcPr>
        <w:tcBorders>
          <w:top w:val="nil"/>
          <w:left w:val="nil"/>
          <w:bottom w:val="nil"/>
          <w:right w:val="nil"/>
          <w:insideH w:val="nil"/>
          <w:insideV w:val="nil"/>
        </w:tcBorders>
        <w:shd w:val="clear" w:color="auto" w:fill="00654D" w:themeFill="accent1" w:themeFillShade="BF"/>
      </w:tcPr>
    </w:tblStylePr>
  </w:style>
  <w:style w:type="table" w:styleId="DarkList-Accent2">
    <w:name w:val="Dark List Accent 2"/>
    <w:basedOn w:val="TableNormal"/>
    <w:uiPriority w:val="70"/>
    <w:semiHidden/>
    <w:unhideWhenUsed/>
    <w:rsid w:val="009E6ED7"/>
    <w:rPr>
      <w:color w:val="FFFFFF" w:themeColor="background1"/>
    </w:rPr>
    <w:tblPr>
      <w:tblStyleRowBandSize w:val="1"/>
      <w:tblStyleColBandSize w:val="1"/>
    </w:tblPr>
    <w:tcPr>
      <w:shd w:val="clear" w:color="auto" w:fill="00353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A1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72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72E" w:themeFill="accent2" w:themeFillShade="BF"/>
      </w:tcPr>
    </w:tblStylePr>
    <w:tblStylePr w:type="band1Vert">
      <w:tblPr/>
      <w:tcPr>
        <w:tcBorders>
          <w:top w:val="nil"/>
          <w:left w:val="nil"/>
          <w:bottom w:val="nil"/>
          <w:right w:val="nil"/>
          <w:insideH w:val="nil"/>
          <w:insideV w:val="nil"/>
        </w:tcBorders>
        <w:shd w:val="clear" w:color="auto" w:fill="00272E" w:themeFill="accent2" w:themeFillShade="BF"/>
      </w:tcPr>
    </w:tblStylePr>
    <w:tblStylePr w:type="band1Horz">
      <w:tblPr/>
      <w:tcPr>
        <w:tcBorders>
          <w:top w:val="nil"/>
          <w:left w:val="nil"/>
          <w:bottom w:val="nil"/>
          <w:right w:val="nil"/>
          <w:insideH w:val="nil"/>
          <w:insideV w:val="nil"/>
        </w:tcBorders>
        <w:shd w:val="clear" w:color="auto" w:fill="00272E" w:themeFill="accent2" w:themeFillShade="BF"/>
      </w:tcPr>
    </w:tblStylePr>
  </w:style>
  <w:style w:type="table" w:styleId="DarkList-Accent3">
    <w:name w:val="Dark List Accent 3"/>
    <w:basedOn w:val="TableNormal"/>
    <w:uiPriority w:val="70"/>
    <w:semiHidden/>
    <w:unhideWhenUsed/>
    <w:rsid w:val="009E6ED7"/>
    <w:rPr>
      <w:color w:val="FFFFFF" w:themeColor="background1"/>
    </w:rPr>
    <w:tblPr>
      <w:tblStyleRowBandSize w:val="1"/>
      <w:tblStyleColBandSize w:val="1"/>
    </w:tblPr>
    <w:tcPr>
      <w:shd w:val="clear" w:color="auto" w:fill="AECC5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6E2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8A53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8A531" w:themeFill="accent3" w:themeFillShade="BF"/>
      </w:tcPr>
    </w:tblStylePr>
    <w:tblStylePr w:type="band1Vert">
      <w:tblPr/>
      <w:tcPr>
        <w:tcBorders>
          <w:top w:val="nil"/>
          <w:left w:val="nil"/>
          <w:bottom w:val="nil"/>
          <w:right w:val="nil"/>
          <w:insideH w:val="nil"/>
          <w:insideV w:val="nil"/>
        </w:tcBorders>
        <w:shd w:val="clear" w:color="auto" w:fill="88A531" w:themeFill="accent3" w:themeFillShade="BF"/>
      </w:tcPr>
    </w:tblStylePr>
    <w:tblStylePr w:type="band1Horz">
      <w:tblPr/>
      <w:tcPr>
        <w:tcBorders>
          <w:top w:val="nil"/>
          <w:left w:val="nil"/>
          <w:bottom w:val="nil"/>
          <w:right w:val="nil"/>
          <w:insideH w:val="nil"/>
          <w:insideV w:val="nil"/>
        </w:tcBorders>
        <w:shd w:val="clear" w:color="auto" w:fill="88A531" w:themeFill="accent3" w:themeFillShade="BF"/>
      </w:tcPr>
    </w:tblStylePr>
  </w:style>
  <w:style w:type="table" w:styleId="DarkList-Accent4">
    <w:name w:val="Dark List Accent 4"/>
    <w:basedOn w:val="TableNormal"/>
    <w:uiPriority w:val="70"/>
    <w:semiHidden/>
    <w:unhideWhenUsed/>
    <w:rsid w:val="009E6ED7"/>
    <w:rPr>
      <w:color w:val="FFFFFF" w:themeColor="background1"/>
    </w:rPr>
    <w:tblPr>
      <w:tblStyleRowBandSize w:val="1"/>
      <w:tblStyleColBandSize w:val="1"/>
    </w:tblPr>
    <w:tcPr>
      <w:shd w:val="clear" w:color="auto" w:fill="E5271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1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B1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B1D0E" w:themeFill="accent4" w:themeFillShade="BF"/>
      </w:tcPr>
    </w:tblStylePr>
    <w:tblStylePr w:type="band1Vert">
      <w:tblPr/>
      <w:tcPr>
        <w:tcBorders>
          <w:top w:val="nil"/>
          <w:left w:val="nil"/>
          <w:bottom w:val="nil"/>
          <w:right w:val="nil"/>
          <w:insideH w:val="nil"/>
          <w:insideV w:val="nil"/>
        </w:tcBorders>
        <w:shd w:val="clear" w:color="auto" w:fill="AB1D0E" w:themeFill="accent4" w:themeFillShade="BF"/>
      </w:tcPr>
    </w:tblStylePr>
    <w:tblStylePr w:type="band1Horz">
      <w:tblPr/>
      <w:tcPr>
        <w:tcBorders>
          <w:top w:val="nil"/>
          <w:left w:val="nil"/>
          <w:bottom w:val="nil"/>
          <w:right w:val="nil"/>
          <w:insideH w:val="nil"/>
          <w:insideV w:val="nil"/>
        </w:tcBorders>
        <w:shd w:val="clear" w:color="auto" w:fill="AB1D0E" w:themeFill="accent4" w:themeFillShade="BF"/>
      </w:tcPr>
    </w:tblStylePr>
  </w:style>
  <w:style w:type="table" w:styleId="DarkList-Accent5">
    <w:name w:val="Dark List Accent 5"/>
    <w:basedOn w:val="TableNormal"/>
    <w:uiPriority w:val="70"/>
    <w:semiHidden/>
    <w:unhideWhenUsed/>
    <w:rsid w:val="009E6ED7"/>
    <w:rPr>
      <w:color w:val="FFFFFF" w:themeColor="background1"/>
    </w:rPr>
    <w:tblPr>
      <w:tblStyleRowBandSize w:val="1"/>
      <w:tblStyleColBandSize w:val="1"/>
    </w:tblPr>
    <w:tcPr>
      <w:shd w:val="clear" w:color="auto" w:fill="009A9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C4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37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374" w:themeFill="accent5" w:themeFillShade="BF"/>
      </w:tcPr>
    </w:tblStylePr>
    <w:tblStylePr w:type="band1Vert">
      <w:tblPr/>
      <w:tcPr>
        <w:tcBorders>
          <w:top w:val="nil"/>
          <w:left w:val="nil"/>
          <w:bottom w:val="nil"/>
          <w:right w:val="nil"/>
          <w:insideH w:val="nil"/>
          <w:insideV w:val="nil"/>
        </w:tcBorders>
        <w:shd w:val="clear" w:color="auto" w:fill="007374" w:themeFill="accent5" w:themeFillShade="BF"/>
      </w:tcPr>
    </w:tblStylePr>
    <w:tblStylePr w:type="band1Horz">
      <w:tblPr/>
      <w:tcPr>
        <w:tcBorders>
          <w:top w:val="nil"/>
          <w:left w:val="nil"/>
          <w:bottom w:val="nil"/>
          <w:right w:val="nil"/>
          <w:insideH w:val="nil"/>
          <w:insideV w:val="nil"/>
        </w:tcBorders>
        <w:shd w:val="clear" w:color="auto" w:fill="007374" w:themeFill="accent5" w:themeFillShade="BF"/>
      </w:tcPr>
    </w:tblStylePr>
  </w:style>
  <w:style w:type="table" w:styleId="DarkList-Accent6">
    <w:name w:val="Dark List Accent 6"/>
    <w:basedOn w:val="TableNormal"/>
    <w:uiPriority w:val="70"/>
    <w:semiHidden/>
    <w:unhideWhenUsed/>
    <w:rsid w:val="009E6ED7"/>
    <w:rPr>
      <w:color w:val="FFFFFF" w:themeColor="background1"/>
    </w:rPr>
    <w:tblPr>
      <w:tblStyleRowBandSize w:val="1"/>
      <w:tblStyleColBandSize w:val="1"/>
    </w:tblPr>
    <w:tcPr>
      <w:shd w:val="clear" w:color="auto" w:fill="FFCE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6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A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A00" w:themeFill="accent6" w:themeFillShade="BF"/>
      </w:tcPr>
    </w:tblStylePr>
    <w:tblStylePr w:type="band1Vert">
      <w:tblPr/>
      <w:tcPr>
        <w:tcBorders>
          <w:top w:val="nil"/>
          <w:left w:val="nil"/>
          <w:bottom w:val="nil"/>
          <w:right w:val="nil"/>
          <w:insideH w:val="nil"/>
          <w:insideV w:val="nil"/>
        </w:tcBorders>
        <w:shd w:val="clear" w:color="auto" w:fill="BF9A00" w:themeFill="accent6" w:themeFillShade="BF"/>
      </w:tcPr>
    </w:tblStylePr>
    <w:tblStylePr w:type="band1Horz">
      <w:tblPr/>
      <w:tcPr>
        <w:tcBorders>
          <w:top w:val="nil"/>
          <w:left w:val="nil"/>
          <w:bottom w:val="nil"/>
          <w:right w:val="nil"/>
          <w:insideH w:val="nil"/>
          <w:insideV w:val="nil"/>
        </w:tcBorders>
        <w:shd w:val="clear" w:color="auto" w:fill="BF9A00" w:themeFill="accent6" w:themeFillShade="BF"/>
      </w:tcPr>
    </w:tblStylePr>
  </w:style>
  <w:style w:type="table" w:styleId="LightGrid">
    <w:name w:val="Light Grid"/>
    <w:basedOn w:val="TableNormal"/>
    <w:uiPriority w:val="62"/>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E6ED7"/>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insideH w:val="single" w:sz="8" w:space="0" w:color="008768" w:themeColor="accent1"/>
        <w:insideV w:val="single" w:sz="8" w:space="0" w:color="00876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768" w:themeColor="accent1"/>
          <w:left w:val="single" w:sz="8" w:space="0" w:color="008768" w:themeColor="accent1"/>
          <w:bottom w:val="single" w:sz="18" w:space="0" w:color="008768" w:themeColor="accent1"/>
          <w:right w:val="single" w:sz="8" w:space="0" w:color="008768" w:themeColor="accent1"/>
          <w:insideH w:val="nil"/>
          <w:insideV w:val="single" w:sz="8" w:space="0" w:color="0087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768" w:themeColor="accent1"/>
          <w:left w:val="single" w:sz="8" w:space="0" w:color="008768" w:themeColor="accent1"/>
          <w:bottom w:val="single" w:sz="8" w:space="0" w:color="008768" w:themeColor="accent1"/>
          <w:right w:val="single" w:sz="8" w:space="0" w:color="008768" w:themeColor="accent1"/>
          <w:insideH w:val="nil"/>
          <w:insideV w:val="single" w:sz="8" w:space="0" w:color="0087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tblStylePr w:type="band1Vert">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shd w:val="clear" w:color="auto" w:fill="A2FFE9" w:themeFill="accent1" w:themeFillTint="3F"/>
      </w:tcPr>
    </w:tblStylePr>
    <w:tblStylePr w:type="band1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insideV w:val="single" w:sz="8" w:space="0" w:color="008768" w:themeColor="accent1"/>
        </w:tcBorders>
        <w:shd w:val="clear" w:color="auto" w:fill="A2FFE9" w:themeFill="accent1" w:themeFillTint="3F"/>
      </w:tcPr>
    </w:tblStylePr>
    <w:tblStylePr w:type="band2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insideV w:val="single" w:sz="8" w:space="0" w:color="008768" w:themeColor="accent1"/>
        </w:tcBorders>
      </w:tcPr>
    </w:tblStylePr>
  </w:style>
  <w:style w:type="table" w:styleId="LightGrid-Accent2">
    <w:name w:val="Light Grid Accent 2"/>
    <w:basedOn w:val="TableNormal"/>
    <w:uiPriority w:val="62"/>
    <w:semiHidden/>
    <w:unhideWhenUsed/>
    <w:rsid w:val="009E6ED7"/>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insideH w:val="single" w:sz="8" w:space="0" w:color="00353E" w:themeColor="accent2"/>
        <w:insideV w:val="single" w:sz="8" w:space="0" w:color="00353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53E" w:themeColor="accent2"/>
          <w:left w:val="single" w:sz="8" w:space="0" w:color="00353E" w:themeColor="accent2"/>
          <w:bottom w:val="single" w:sz="18" w:space="0" w:color="00353E" w:themeColor="accent2"/>
          <w:right w:val="single" w:sz="8" w:space="0" w:color="00353E" w:themeColor="accent2"/>
          <w:insideH w:val="nil"/>
          <w:insideV w:val="single" w:sz="8" w:space="0" w:color="00353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53E" w:themeColor="accent2"/>
          <w:left w:val="single" w:sz="8" w:space="0" w:color="00353E" w:themeColor="accent2"/>
          <w:bottom w:val="single" w:sz="8" w:space="0" w:color="00353E" w:themeColor="accent2"/>
          <w:right w:val="single" w:sz="8" w:space="0" w:color="00353E" w:themeColor="accent2"/>
          <w:insideH w:val="nil"/>
          <w:insideV w:val="single" w:sz="8" w:space="0" w:color="00353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tblStylePr w:type="band1Vert">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shd w:val="clear" w:color="auto" w:fill="90EEFF" w:themeFill="accent2" w:themeFillTint="3F"/>
      </w:tcPr>
    </w:tblStylePr>
    <w:tblStylePr w:type="band1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insideV w:val="single" w:sz="8" w:space="0" w:color="00353E" w:themeColor="accent2"/>
        </w:tcBorders>
        <w:shd w:val="clear" w:color="auto" w:fill="90EEFF" w:themeFill="accent2" w:themeFillTint="3F"/>
      </w:tcPr>
    </w:tblStylePr>
    <w:tblStylePr w:type="band2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insideV w:val="single" w:sz="8" w:space="0" w:color="00353E" w:themeColor="accent2"/>
        </w:tcBorders>
      </w:tcPr>
    </w:tblStylePr>
  </w:style>
  <w:style w:type="table" w:styleId="LightGrid-Accent3">
    <w:name w:val="Light Grid Accent 3"/>
    <w:basedOn w:val="TableNormal"/>
    <w:uiPriority w:val="62"/>
    <w:semiHidden/>
    <w:unhideWhenUsed/>
    <w:rsid w:val="009E6ED7"/>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insideH w:val="single" w:sz="8" w:space="0" w:color="AECC53" w:themeColor="accent3"/>
        <w:insideV w:val="single" w:sz="8" w:space="0" w:color="AECC5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CC53" w:themeColor="accent3"/>
          <w:left w:val="single" w:sz="8" w:space="0" w:color="AECC53" w:themeColor="accent3"/>
          <w:bottom w:val="single" w:sz="18" w:space="0" w:color="AECC53" w:themeColor="accent3"/>
          <w:right w:val="single" w:sz="8" w:space="0" w:color="AECC53" w:themeColor="accent3"/>
          <w:insideH w:val="nil"/>
          <w:insideV w:val="single" w:sz="8" w:space="0" w:color="AECC5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CC53" w:themeColor="accent3"/>
          <w:left w:val="single" w:sz="8" w:space="0" w:color="AECC53" w:themeColor="accent3"/>
          <w:bottom w:val="single" w:sz="8" w:space="0" w:color="AECC53" w:themeColor="accent3"/>
          <w:right w:val="single" w:sz="8" w:space="0" w:color="AECC53" w:themeColor="accent3"/>
          <w:insideH w:val="nil"/>
          <w:insideV w:val="single" w:sz="8" w:space="0" w:color="AECC5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tblStylePr w:type="band1Vert">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shd w:val="clear" w:color="auto" w:fill="EAF2D4" w:themeFill="accent3" w:themeFillTint="3F"/>
      </w:tcPr>
    </w:tblStylePr>
    <w:tblStylePr w:type="band1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insideV w:val="single" w:sz="8" w:space="0" w:color="AECC53" w:themeColor="accent3"/>
        </w:tcBorders>
        <w:shd w:val="clear" w:color="auto" w:fill="EAF2D4" w:themeFill="accent3" w:themeFillTint="3F"/>
      </w:tcPr>
    </w:tblStylePr>
    <w:tblStylePr w:type="band2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insideV w:val="single" w:sz="8" w:space="0" w:color="AECC53" w:themeColor="accent3"/>
        </w:tcBorders>
      </w:tcPr>
    </w:tblStylePr>
  </w:style>
  <w:style w:type="table" w:styleId="LightGrid-Accent4">
    <w:name w:val="Light Grid Accent 4"/>
    <w:basedOn w:val="TableNormal"/>
    <w:uiPriority w:val="62"/>
    <w:semiHidden/>
    <w:unhideWhenUsed/>
    <w:rsid w:val="009E6ED7"/>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insideH w:val="single" w:sz="8" w:space="0" w:color="E52713" w:themeColor="accent4"/>
        <w:insideV w:val="single" w:sz="8" w:space="0" w:color="E5271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2713" w:themeColor="accent4"/>
          <w:left w:val="single" w:sz="8" w:space="0" w:color="E52713" w:themeColor="accent4"/>
          <w:bottom w:val="single" w:sz="18" w:space="0" w:color="E52713" w:themeColor="accent4"/>
          <w:right w:val="single" w:sz="8" w:space="0" w:color="E52713" w:themeColor="accent4"/>
          <w:insideH w:val="nil"/>
          <w:insideV w:val="single" w:sz="8" w:space="0" w:color="E5271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2713" w:themeColor="accent4"/>
          <w:left w:val="single" w:sz="8" w:space="0" w:color="E52713" w:themeColor="accent4"/>
          <w:bottom w:val="single" w:sz="8" w:space="0" w:color="E52713" w:themeColor="accent4"/>
          <w:right w:val="single" w:sz="8" w:space="0" w:color="E52713" w:themeColor="accent4"/>
          <w:insideH w:val="nil"/>
          <w:insideV w:val="single" w:sz="8" w:space="0" w:color="E5271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tblStylePr w:type="band1Vert">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shd w:val="clear" w:color="auto" w:fill="FAC8C2" w:themeFill="accent4" w:themeFillTint="3F"/>
      </w:tcPr>
    </w:tblStylePr>
    <w:tblStylePr w:type="band1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insideV w:val="single" w:sz="8" w:space="0" w:color="E52713" w:themeColor="accent4"/>
        </w:tcBorders>
        <w:shd w:val="clear" w:color="auto" w:fill="FAC8C2" w:themeFill="accent4" w:themeFillTint="3F"/>
      </w:tcPr>
    </w:tblStylePr>
    <w:tblStylePr w:type="band2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insideV w:val="single" w:sz="8" w:space="0" w:color="E52713" w:themeColor="accent4"/>
        </w:tcBorders>
      </w:tcPr>
    </w:tblStylePr>
  </w:style>
  <w:style w:type="table" w:styleId="LightGrid-Accent5">
    <w:name w:val="Light Grid Accent 5"/>
    <w:basedOn w:val="TableNormal"/>
    <w:uiPriority w:val="62"/>
    <w:semiHidden/>
    <w:unhideWhenUsed/>
    <w:rsid w:val="009E6ED7"/>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insideH w:val="single" w:sz="8" w:space="0" w:color="009A9B" w:themeColor="accent5"/>
        <w:insideV w:val="single" w:sz="8" w:space="0" w:color="009A9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A9B" w:themeColor="accent5"/>
          <w:left w:val="single" w:sz="8" w:space="0" w:color="009A9B" w:themeColor="accent5"/>
          <w:bottom w:val="single" w:sz="18" w:space="0" w:color="009A9B" w:themeColor="accent5"/>
          <w:right w:val="single" w:sz="8" w:space="0" w:color="009A9B" w:themeColor="accent5"/>
          <w:insideH w:val="nil"/>
          <w:insideV w:val="single" w:sz="8" w:space="0" w:color="009A9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A9B" w:themeColor="accent5"/>
          <w:left w:val="single" w:sz="8" w:space="0" w:color="009A9B" w:themeColor="accent5"/>
          <w:bottom w:val="single" w:sz="8" w:space="0" w:color="009A9B" w:themeColor="accent5"/>
          <w:right w:val="single" w:sz="8" w:space="0" w:color="009A9B" w:themeColor="accent5"/>
          <w:insideH w:val="nil"/>
          <w:insideV w:val="single" w:sz="8" w:space="0" w:color="009A9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tblStylePr w:type="band1Vert">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shd w:val="clear" w:color="auto" w:fill="A7FEFF" w:themeFill="accent5" w:themeFillTint="3F"/>
      </w:tcPr>
    </w:tblStylePr>
    <w:tblStylePr w:type="band1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insideV w:val="single" w:sz="8" w:space="0" w:color="009A9B" w:themeColor="accent5"/>
        </w:tcBorders>
        <w:shd w:val="clear" w:color="auto" w:fill="A7FEFF" w:themeFill="accent5" w:themeFillTint="3F"/>
      </w:tcPr>
    </w:tblStylePr>
    <w:tblStylePr w:type="band2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insideV w:val="single" w:sz="8" w:space="0" w:color="009A9B" w:themeColor="accent5"/>
        </w:tcBorders>
      </w:tcPr>
    </w:tblStylePr>
  </w:style>
  <w:style w:type="table" w:styleId="LightGrid-Accent6">
    <w:name w:val="Light Grid Accent 6"/>
    <w:basedOn w:val="TableNormal"/>
    <w:uiPriority w:val="62"/>
    <w:semiHidden/>
    <w:unhideWhenUsed/>
    <w:rsid w:val="009E6ED7"/>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insideH w:val="single" w:sz="8" w:space="0" w:color="FFCE00" w:themeColor="accent6"/>
        <w:insideV w:val="single" w:sz="8" w:space="0" w:color="FFCE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E00" w:themeColor="accent6"/>
          <w:left w:val="single" w:sz="8" w:space="0" w:color="FFCE00" w:themeColor="accent6"/>
          <w:bottom w:val="single" w:sz="18" w:space="0" w:color="FFCE00" w:themeColor="accent6"/>
          <w:right w:val="single" w:sz="8" w:space="0" w:color="FFCE00" w:themeColor="accent6"/>
          <w:insideH w:val="nil"/>
          <w:insideV w:val="single" w:sz="8" w:space="0" w:color="FFCE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E00" w:themeColor="accent6"/>
          <w:left w:val="single" w:sz="8" w:space="0" w:color="FFCE00" w:themeColor="accent6"/>
          <w:bottom w:val="single" w:sz="8" w:space="0" w:color="FFCE00" w:themeColor="accent6"/>
          <w:right w:val="single" w:sz="8" w:space="0" w:color="FFCE00" w:themeColor="accent6"/>
          <w:insideH w:val="nil"/>
          <w:insideV w:val="single" w:sz="8" w:space="0" w:color="FFCE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tblStylePr w:type="band1Vert">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shd w:val="clear" w:color="auto" w:fill="FFF2C0" w:themeFill="accent6" w:themeFillTint="3F"/>
      </w:tcPr>
    </w:tblStylePr>
    <w:tblStylePr w:type="band1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insideV w:val="single" w:sz="8" w:space="0" w:color="FFCE00" w:themeColor="accent6"/>
        </w:tcBorders>
        <w:shd w:val="clear" w:color="auto" w:fill="FFF2C0" w:themeFill="accent6" w:themeFillTint="3F"/>
      </w:tcPr>
    </w:tblStylePr>
    <w:tblStylePr w:type="band2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insideV w:val="single" w:sz="8" w:space="0" w:color="FFCE00" w:themeColor="accent6"/>
        </w:tcBorders>
      </w:tcPr>
    </w:tblStylePr>
  </w:style>
  <w:style w:type="table" w:styleId="LightList">
    <w:name w:val="Light List"/>
    <w:basedOn w:val="TableNormal"/>
    <w:uiPriority w:val="61"/>
    <w:semiHidden/>
    <w:unhideWhenUsed/>
    <w:rsid w:val="009E6E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E6ED7"/>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tblBorders>
    </w:tblPr>
    <w:tblStylePr w:type="firstRow">
      <w:pPr>
        <w:spacing w:before="0" w:after="0" w:line="240" w:lineRule="auto"/>
      </w:pPr>
      <w:rPr>
        <w:b/>
        <w:bCs/>
        <w:color w:val="FFFFFF" w:themeColor="background1"/>
      </w:rPr>
      <w:tblPr/>
      <w:tcPr>
        <w:shd w:val="clear" w:color="auto" w:fill="008768" w:themeFill="accent1"/>
      </w:tcPr>
    </w:tblStylePr>
    <w:tblStylePr w:type="lastRow">
      <w:pPr>
        <w:spacing w:before="0" w:after="0" w:line="240" w:lineRule="auto"/>
      </w:pPr>
      <w:rPr>
        <w:b/>
        <w:bCs/>
      </w:rPr>
      <w:tblPr/>
      <w:tcPr>
        <w:tcBorders>
          <w:top w:val="double" w:sz="6" w:space="0" w:color="008768" w:themeColor="accent1"/>
          <w:left w:val="single" w:sz="8" w:space="0" w:color="008768" w:themeColor="accent1"/>
          <w:bottom w:val="single" w:sz="8" w:space="0" w:color="008768" w:themeColor="accent1"/>
          <w:right w:val="single" w:sz="8" w:space="0" w:color="008768" w:themeColor="accent1"/>
        </w:tcBorders>
      </w:tcPr>
    </w:tblStylePr>
    <w:tblStylePr w:type="firstCol">
      <w:rPr>
        <w:b/>
        <w:bCs/>
      </w:rPr>
    </w:tblStylePr>
    <w:tblStylePr w:type="lastCol">
      <w:rPr>
        <w:b/>
        <w:bCs/>
      </w:rPr>
    </w:tblStylePr>
    <w:tblStylePr w:type="band1Vert">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tblStylePr w:type="band1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style>
  <w:style w:type="table" w:styleId="LightList-Accent2">
    <w:name w:val="Light List Accent 2"/>
    <w:basedOn w:val="TableNormal"/>
    <w:uiPriority w:val="61"/>
    <w:semiHidden/>
    <w:unhideWhenUsed/>
    <w:rsid w:val="009E6ED7"/>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tblBorders>
    </w:tblPr>
    <w:tblStylePr w:type="firstRow">
      <w:pPr>
        <w:spacing w:before="0" w:after="0" w:line="240" w:lineRule="auto"/>
      </w:pPr>
      <w:rPr>
        <w:b/>
        <w:bCs/>
        <w:color w:val="FFFFFF" w:themeColor="background1"/>
      </w:rPr>
      <w:tblPr/>
      <w:tcPr>
        <w:shd w:val="clear" w:color="auto" w:fill="00353E" w:themeFill="accent2"/>
      </w:tcPr>
    </w:tblStylePr>
    <w:tblStylePr w:type="lastRow">
      <w:pPr>
        <w:spacing w:before="0" w:after="0" w:line="240" w:lineRule="auto"/>
      </w:pPr>
      <w:rPr>
        <w:b/>
        <w:bCs/>
      </w:rPr>
      <w:tblPr/>
      <w:tcPr>
        <w:tcBorders>
          <w:top w:val="double" w:sz="6" w:space="0" w:color="00353E" w:themeColor="accent2"/>
          <w:left w:val="single" w:sz="8" w:space="0" w:color="00353E" w:themeColor="accent2"/>
          <w:bottom w:val="single" w:sz="8" w:space="0" w:color="00353E" w:themeColor="accent2"/>
          <w:right w:val="single" w:sz="8" w:space="0" w:color="00353E" w:themeColor="accent2"/>
        </w:tcBorders>
      </w:tcPr>
    </w:tblStylePr>
    <w:tblStylePr w:type="firstCol">
      <w:rPr>
        <w:b/>
        <w:bCs/>
      </w:rPr>
    </w:tblStylePr>
    <w:tblStylePr w:type="lastCol">
      <w:rPr>
        <w:b/>
        <w:bCs/>
      </w:rPr>
    </w:tblStylePr>
    <w:tblStylePr w:type="band1Vert">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tblStylePr w:type="band1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style>
  <w:style w:type="table" w:styleId="LightList-Accent3">
    <w:name w:val="Light List Accent 3"/>
    <w:basedOn w:val="TableNormal"/>
    <w:uiPriority w:val="61"/>
    <w:semiHidden/>
    <w:unhideWhenUsed/>
    <w:rsid w:val="009E6ED7"/>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tblBorders>
    </w:tblPr>
    <w:tblStylePr w:type="firstRow">
      <w:pPr>
        <w:spacing w:before="0" w:after="0" w:line="240" w:lineRule="auto"/>
      </w:pPr>
      <w:rPr>
        <w:b/>
        <w:bCs/>
        <w:color w:val="FFFFFF" w:themeColor="background1"/>
      </w:rPr>
      <w:tblPr/>
      <w:tcPr>
        <w:shd w:val="clear" w:color="auto" w:fill="AECC53" w:themeFill="accent3"/>
      </w:tcPr>
    </w:tblStylePr>
    <w:tblStylePr w:type="lastRow">
      <w:pPr>
        <w:spacing w:before="0" w:after="0" w:line="240" w:lineRule="auto"/>
      </w:pPr>
      <w:rPr>
        <w:b/>
        <w:bCs/>
      </w:rPr>
      <w:tblPr/>
      <w:tcPr>
        <w:tcBorders>
          <w:top w:val="double" w:sz="6" w:space="0" w:color="AECC53" w:themeColor="accent3"/>
          <w:left w:val="single" w:sz="8" w:space="0" w:color="AECC53" w:themeColor="accent3"/>
          <w:bottom w:val="single" w:sz="8" w:space="0" w:color="AECC53" w:themeColor="accent3"/>
          <w:right w:val="single" w:sz="8" w:space="0" w:color="AECC53" w:themeColor="accent3"/>
        </w:tcBorders>
      </w:tcPr>
    </w:tblStylePr>
    <w:tblStylePr w:type="firstCol">
      <w:rPr>
        <w:b/>
        <w:bCs/>
      </w:rPr>
    </w:tblStylePr>
    <w:tblStylePr w:type="lastCol">
      <w:rPr>
        <w:b/>
        <w:bCs/>
      </w:rPr>
    </w:tblStylePr>
    <w:tblStylePr w:type="band1Vert">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tblStylePr w:type="band1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style>
  <w:style w:type="table" w:styleId="LightList-Accent4">
    <w:name w:val="Light List Accent 4"/>
    <w:basedOn w:val="TableNormal"/>
    <w:uiPriority w:val="61"/>
    <w:semiHidden/>
    <w:unhideWhenUsed/>
    <w:rsid w:val="009E6ED7"/>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tblBorders>
    </w:tblPr>
    <w:tblStylePr w:type="firstRow">
      <w:pPr>
        <w:spacing w:before="0" w:after="0" w:line="240" w:lineRule="auto"/>
      </w:pPr>
      <w:rPr>
        <w:b/>
        <w:bCs/>
        <w:color w:val="FFFFFF" w:themeColor="background1"/>
      </w:rPr>
      <w:tblPr/>
      <w:tcPr>
        <w:shd w:val="clear" w:color="auto" w:fill="E52713" w:themeFill="accent4"/>
      </w:tcPr>
    </w:tblStylePr>
    <w:tblStylePr w:type="lastRow">
      <w:pPr>
        <w:spacing w:before="0" w:after="0" w:line="240" w:lineRule="auto"/>
      </w:pPr>
      <w:rPr>
        <w:b/>
        <w:bCs/>
      </w:rPr>
      <w:tblPr/>
      <w:tcPr>
        <w:tcBorders>
          <w:top w:val="double" w:sz="6" w:space="0" w:color="E52713" w:themeColor="accent4"/>
          <w:left w:val="single" w:sz="8" w:space="0" w:color="E52713" w:themeColor="accent4"/>
          <w:bottom w:val="single" w:sz="8" w:space="0" w:color="E52713" w:themeColor="accent4"/>
          <w:right w:val="single" w:sz="8" w:space="0" w:color="E52713" w:themeColor="accent4"/>
        </w:tcBorders>
      </w:tcPr>
    </w:tblStylePr>
    <w:tblStylePr w:type="firstCol">
      <w:rPr>
        <w:b/>
        <w:bCs/>
      </w:rPr>
    </w:tblStylePr>
    <w:tblStylePr w:type="lastCol">
      <w:rPr>
        <w:b/>
        <w:bCs/>
      </w:rPr>
    </w:tblStylePr>
    <w:tblStylePr w:type="band1Vert">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tblStylePr w:type="band1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style>
  <w:style w:type="table" w:styleId="LightList-Accent5">
    <w:name w:val="Light List Accent 5"/>
    <w:basedOn w:val="TableNormal"/>
    <w:uiPriority w:val="61"/>
    <w:semiHidden/>
    <w:unhideWhenUsed/>
    <w:rsid w:val="009E6ED7"/>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tblBorders>
    </w:tblPr>
    <w:tblStylePr w:type="firstRow">
      <w:pPr>
        <w:spacing w:before="0" w:after="0" w:line="240" w:lineRule="auto"/>
      </w:pPr>
      <w:rPr>
        <w:b/>
        <w:bCs/>
        <w:color w:val="FFFFFF" w:themeColor="background1"/>
      </w:rPr>
      <w:tblPr/>
      <w:tcPr>
        <w:shd w:val="clear" w:color="auto" w:fill="009A9B" w:themeFill="accent5"/>
      </w:tcPr>
    </w:tblStylePr>
    <w:tblStylePr w:type="lastRow">
      <w:pPr>
        <w:spacing w:before="0" w:after="0" w:line="240" w:lineRule="auto"/>
      </w:pPr>
      <w:rPr>
        <w:b/>
        <w:bCs/>
      </w:rPr>
      <w:tblPr/>
      <w:tcPr>
        <w:tcBorders>
          <w:top w:val="double" w:sz="6" w:space="0" w:color="009A9B" w:themeColor="accent5"/>
          <w:left w:val="single" w:sz="8" w:space="0" w:color="009A9B" w:themeColor="accent5"/>
          <w:bottom w:val="single" w:sz="8" w:space="0" w:color="009A9B" w:themeColor="accent5"/>
          <w:right w:val="single" w:sz="8" w:space="0" w:color="009A9B" w:themeColor="accent5"/>
        </w:tcBorders>
      </w:tcPr>
    </w:tblStylePr>
    <w:tblStylePr w:type="firstCol">
      <w:rPr>
        <w:b/>
        <w:bCs/>
      </w:rPr>
    </w:tblStylePr>
    <w:tblStylePr w:type="lastCol">
      <w:rPr>
        <w:b/>
        <w:bCs/>
      </w:rPr>
    </w:tblStylePr>
    <w:tblStylePr w:type="band1Vert">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tblStylePr w:type="band1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style>
  <w:style w:type="table" w:styleId="LightList-Accent6">
    <w:name w:val="Light List Accent 6"/>
    <w:basedOn w:val="TableNormal"/>
    <w:uiPriority w:val="61"/>
    <w:semiHidden/>
    <w:unhideWhenUsed/>
    <w:rsid w:val="009E6ED7"/>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tblBorders>
    </w:tblPr>
    <w:tblStylePr w:type="firstRow">
      <w:pPr>
        <w:spacing w:before="0" w:after="0" w:line="240" w:lineRule="auto"/>
      </w:pPr>
      <w:rPr>
        <w:b/>
        <w:bCs/>
        <w:color w:val="FFFFFF" w:themeColor="background1"/>
      </w:rPr>
      <w:tblPr/>
      <w:tcPr>
        <w:shd w:val="clear" w:color="auto" w:fill="FFCE00" w:themeFill="accent6"/>
      </w:tcPr>
    </w:tblStylePr>
    <w:tblStylePr w:type="lastRow">
      <w:pPr>
        <w:spacing w:before="0" w:after="0" w:line="240" w:lineRule="auto"/>
      </w:pPr>
      <w:rPr>
        <w:b/>
        <w:bCs/>
      </w:rPr>
      <w:tblPr/>
      <w:tcPr>
        <w:tcBorders>
          <w:top w:val="double" w:sz="6" w:space="0" w:color="FFCE00" w:themeColor="accent6"/>
          <w:left w:val="single" w:sz="8" w:space="0" w:color="FFCE00" w:themeColor="accent6"/>
          <w:bottom w:val="single" w:sz="8" w:space="0" w:color="FFCE00" w:themeColor="accent6"/>
          <w:right w:val="single" w:sz="8" w:space="0" w:color="FFCE00" w:themeColor="accent6"/>
        </w:tcBorders>
      </w:tcPr>
    </w:tblStylePr>
    <w:tblStylePr w:type="firstCol">
      <w:rPr>
        <w:b/>
        <w:bCs/>
      </w:rPr>
    </w:tblStylePr>
    <w:tblStylePr w:type="lastCol">
      <w:rPr>
        <w:b/>
        <w:bCs/>
      </w:rPr>
    </w:tblStylePr>
    <w:tblStylePr w:type="band1Vert">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tblStylePr w:type="band1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style>
  <w:style w:type="table" w:styleId="LightShading">
    <w:name w:val="Light Shading"/>
    <w:basedOn w:val="TableNormal"/>
    <w:uiPriority w:val="60"/>
    <w:semiHidden/>
    <w:unhideWhenUsed/>
    <w:rsid w:val="009E6E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E6ED7"/>
    <w:rPr>
      <w:color w:val="00654D" w:themeColor="accent1" w:themeShade="BF"/>
    </w:rPr>
    <w:tblPr>
      <w:tblStyleRowBandSize w:val="1"/>
      <w:tblStyleColBandSize w:val="1"/>
      <w:tblBorders>
        <w:top w:val="single" w:sz="8" w:space="0" w:color="008768" w:themeColor="accent1"/>
        <w:bottom w:val="single" w:sz="8" w:space="0" w:color="008768" w:themeColor="accent1"/>
      </w:tblBorders>
    </w:tblPr>
    <w:tblStylePr w:type="firstRow">
      <w:pPr>
        <w:spacing w:before="0" w:after="0" w:line="240" w:lineRule="auto"/>
      </w:pPr>
      <w:rPr>
        <w:b/>
        <w:bCs/>
      </w:rPr>
      <w:tblPr/>
      <w:tcPr>
        <w:tcBorders>
          <w:top w:val="single" w:sz="8" w:space="0" w:color="008768" w:themeColor="accent1"/>
          <w:left w:val="nil"/>
          <w:bottom w:val="single" w:sz="8" w:space="0" w:color="008768" w:themeColor="accent1"/>
          <w:right w:val="nil"/>
          <w:insideH w:val="nil"/>
          <w:insideV w:val="nil"/>
        </w:tcBorders>
      </w:tcPr>
    </w:tblStylePr>
    <w:tblStylePr w:type="lastRow">
      <w:pPr>
        <w:spacing w:before="0" w:after="0" w:line="240" w:lineRule="auto"/>
      </w:pPr>
      <w:rPr>
        <w:b/>
        <w:bCs/>
      </w:rPr>
      <w:tblPr/>
      <w:tcPr>
        <w:tcBorders>
          <w:top w:val="single" w:sz="8" w:space="0" w:color="008768" w:themeColor="accent1"/>
          <w:left w:val="nil"/>
          <w:bottom w:val="single" w:sz="8" w:space="0" w:color="0087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E9" w:themeFill="accent1" w:themeFillTint="3F"/>
      </w:tcPr>
    </w:tblStylePr>
    <w:tblStylePr w:type="band1Horz">
      <w:tblPr/>
      <w:tcPr>
        <w:tcBorders>
          <w:left w:val="nil"/>
          <w:right w:val="nil"/>
          <w:insideH w:val="nil"/>
          <w:insideV w:val="nil"/>
        </w:tcBorders>
        <w:shd w:val="clear" w:color="auto" w:fill="A2FFE9" w:themeFill="accent1" w:themeFillTint="3F"/>
      </w:tcPr>
    </w:tblStylePr>
  </w:style>
  <w:style w:type="table" w:styleId="LightShading-Accent2">
    <w:name w:val="Light Shading Accent 2"/>
    <w:basedOn w:val="TableNormal"/>
    <w:uiPriority w:val="60"/>
    <w:semiHidden/>
    <w:unhideWhenUsed/>
    <w:rsid w:val="009E6ED7"/>
    <w:rPr>
      <w:color w:val="00272E" w:themeColor="accent2" w:themeShade="BF"/>
    </w:rPr>
    <w:tblPr>
      <w:tblStyleRowBandSize w:val="1"/>
      <w:tblStyleColBandSize w:val="1"/>
      <w:tblBorders>
        <w:top w:val="single" w:sz="8" w:space="0" w:color="00353E" w:themeColor="accent2"/>
        <w:bottom w:val="single" w:sz="8" w:space="0" w:color="00353E" w:themeColor="accent2"/>
      </w:tblBorders>
    </w:tblPr>
    <w:tblStylePr w:type="firstRow">
      <w:pPr>
        <w:spacing w:before="0" w:after="0" w:line="240" w:lineRule="auto"/>
      </w:pPr>
      <w:rPr>
        <w:b/>
        <w:bCs/>
      </w:rPr>
      <w:tblPr/>
      <w:tcPr>
        <w:tcBorders>
          <w:top w:val="single" w:sz="8" w:space="0" w:color="00353E" w:themeColor="accent2"/>
          <w:left w:val="nil"/>
          <w:bottom w:val="single" w:sz="8" w:space="0" w:color="00353E" w:themeColor="accent2"/>
          <w:right w:val="nil"/>
          <w:insideH w:val="nil"/>
          <w:insideV w:val="nil"/>
        </w:tcBorders>
      </w:tcPr>
    </w:tblStylePr>
    <w:tblStylePr w:type="lastRow">
      <w:pPr>
        <w:spacing w:before="0" w:after="0" w:line="240" w:lineRule="auto"/>
      </w:pPr>
      <w:rPr>
        <w:b/>
        <w:bCs/>
      </w:rPr>
      <w:tblPr/>
      <w:tcPr>
        <w:tcBorders>
          <w:top w:val="single" w:sz="8" w:space="0" w:color="00353E" w:themeColor="accent2"/>
          <w:left w:val="nil"/>
          <w:bottom w:val="single" w:sz="8" w:space="0" w:color="00353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EFF" w:themeFill="accent2" w:themeFillTint="3F"/>
      </w:tcPr>
    </w:tblStylePr>
    <w:tblStylePr w:type="band1Horz">
      <w:tblPr/>
      <w:tcPr>
        <w:tcBorders>
          <w:left w:val="nil"/>
          <w:right w:val="nil"/>
          <w:insideH w:val="nil"/>
          <w:insideV w:val="nil"/>
        </w:tcBorders>
        <w:shd w:val="clear" w:color="auto" w:fill="90EEFF" w:themeFill="accent2" w:themeFillTint="3F"/>
      </w:tcPr>
    </w:tblStylePr>
  </w:style>
  <w:style w:type="table" w:styleId="LightShading-Accent3">
    <w:name w:val="Light Shading Accent 3"/>
    <w:basedOn w:val="TableNormal"/>
    <w:uiPriority w:val="60"/>
    <w:semiHidden/>
    <w:unhideWhenUsed/>
    <w:rsid w:val="009E6ED7"/>
    <w:rPr>
      <w:color w:val="88A531" w:themeColor="accent3" w:themeShade="BF"/>
    </w:rPr>
    <w:tblPr>
      <w:tblStyleRowBandSize w:val="1"/>
      <w:tblStyleColBandSize w:val="1"/>
      <w:tblBorders>
        <w:top w:val="single" w:sz="8" w:space="0" w:color="AECC53" w:themeColor="accent3"/>
        <w:bottom w:val="single" w:sz="8" w:space="0" w:color="AECC53" w:themeColor="accent3"/>
      </w:tblBorders>
    </w:tblPr>
    <w:tblStylePr w:type="firstRow">
      <w:pPr>
        <w:spacing w:before="0" w:after="0" w:line="240" w:lineRule="auto"/>
      </w:pPr>
      <w:rPr>
        <w:b/>
        <w:bCs/>
      </w:rPr>
      <w:tblPr/>
      <w:tcPr>
        <w:tcBorders>
          <w:top w:val="single" w:sz="8" w:space="0" w:color="AECC53" w:themeColor="accent3"/>
          <w:left w:val="nil"/>
          <w:bottom w:val="single" w:sz="8" w:space="0" w:color="AECC53" w:themeColor="accent3"/>
          <w:right w:val="nil"/>
          <w:insideH w:val="nil"/>
          <w:insideV w:val="nil"/>
        </w:tcBorders>
      </w:tcPr>
    </w:tblStylePr>
    <w:tblStylePr w:type="lastRow">
      <w:pPr>
        <w:spacing w:before="0" w:after="0" w:line="240" w:lineRule="auto"/>
      </w:pPr>
      <w:rPr>
        <w:b/>
        <w:bCs/>
      </w:rPr>
      <w:tblPr/>
      <w:tcPr>
        <w:tcBorders>
          <w:top w:val="single" w:sz="8" w:space="0" w:color="AECC53" w:themeColor="accent3"/>
          <w:left w:val="nil"/>
          <w:bottom w:val="single" w:sz="8" w:space="0" w:color="AECC5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2D4" w:themeFill="accent3" w:themeFillTint="3F"/>
      </w:tcPr>
    </w:tblStylePr>
    <w:tblStylePr w:type="band1Horz">
      <w:tblPr/>
      <w:tcPr>
        <w:tcBorders>
          <w:left w:val="nil"/>
          <w:right w:val="nil"/>
          <w:insideH w:val="nil"/>
          <w:insideV w:val="nil"/>
        </w:tcBorders>
        <w:shd w:val="clear" w:color="auto" w:fill="EAF2D4" w:themeFill="accent3" w:themeFillTint="3F"/>
      </w:tcPr>
    </w:tblStylePr>
  </w:style>
  <w:style w:type="table" w:styleId="LightShading-Accent4">
    <w:name w:val="Light Shading Accent 4"/>
    <w:basedOn w:val="TableNormal"/>
    <w:uiPriority w:val="60"/>
    <w:semiHidden/>
    <w:unhideWhenUsed/>
    <w:rsid w:val="009E6ED7"/>
    <w:rPr>
      <w:color w:val="AB1D0E" w:themeColor="accent4" w:themeShade="BF"/>
    </w:rPr>
    <w:tblPr>
      <w:tblStyleRowBandSize w:val="1"/>
      <w:tblStyleColBandSize w:val="1"/>
      <w:tblBorders>
        <w:top w:val="single" w:sz="8" w:space="0" w:color="E52713" w:themeColor="accent4"/>
        <w:bottom w:val="single" w:sz="8" w:space="0" w:color="E52713" w:themeColor="accent4"/>
      </w:tblBorders>
    </w:tblPr>
    <w:tblStylePr w:type="firstRow">
      <w:pPr>
        <w:spacing w:before="0" w:after="0" w:line="240" w:lineRule="auto"/>
      </w:pPr>
      <w:rPr>
        <w:b/>
        <w:bCs/>
      </w:rPr>
      <w:tblPr/>
      <w:tcPr>
        <w:tcBorders>
          <w:top w:val="single" w:sz="8" w:space="0" w:color="E52713" w:themeColor="accent4"/>
          <w:left w:val="nil"/>
          <w:bottom w:val="single" w:sz="8" w:space="0" w:color="E52713" w:themeColor="accent4"/>
          <w:right w:val="nil"/>
          <w:insideH w:val="nil"/>
          <w:insideV w:val="nil"/>
        </w:tcBorders>
      </w:tcPr>
    </w:tblStylePr>
    <w:tblStylePr w:type="lastRow">
      <w:pPr>
        <w:spacing w:before="0" w:after="0" w:line="240" w:lineRule="auto"/>
      </w:pPr>
      <w:rPr>
        <w:b/>
        <w:bCs/>
      </w:rPr>
      <w:tblPr/>
      <w:tcPr>
        <w:tcBorders>
          <w:top w:val="single" w:sz="8" w:space="0" w:color="E52713" w:themeColor="accent4"/>
          <w:left w:val="nil"/>
          <w:bottom w:val="single" w:sz="8" w:space="0" w:color="E5271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8C2" w:themeFill="accent4" w:themeFillTint="3F"/>
      </w:tcPr>
    </w:tblStylePr>
    <w:tblStylePr w:type="band1Horz">
      <w:tblPr/>
      <w:tcPr>
        <w:tcBorders>
          <w:left w:val="nil"/>
          <w:right w:val="nil"/>
          <w:insideH w:val="nil"/>
          <w:insideV w:val="nil"/>
        </w:tcBorders>
        <w:shd w:val="clear" w:color="auto" w:fill="FAC8C2" w:themeFill="accent4" w:themeFillTint="3F"/>
      </w:tcPr>
    </w:tblStylePr>
  </w:style>
  <w:style w:type="table" w:styleId="LightShading-Accent5">
    <w:name w:val="Light Shading Accent 5"/>
    <w:basedOn w:val="TableNormal"/>
    <w:uiPriority w:val="60"/>
    <w:semiHidden/>
    <w:unhideWhenUsed/>
    <w:rsid w:val="009E6ED7"/>
    <w:rPr>
      <w:color w:val="007374" w:themeColor="accent5" w:themeShade="BF"/>
    </w:rPr>
    <w:tblPr>
      <w:tblStyleRowBandSize w:val="1"/>
      <w:tblStyleColBandSize w:val="1"/>
      <w:tblBorders>
        <w:top w:val="single" w:sz="8" w:space="0" w:color="009A9B" w:themeColor="accent5"/>
        <w:bottom w:val="single" w:sz="8" w:space="0" w:color="009A9B" w:themeColor="accent5"/>
      </w:tblBorders>
    </w:tblPr>
    <w:tblStylePr w:type="firstRow">
      <w:pPr>
        <w:spacing w:before="0" w:after="0" w:line="240" w:lineRule="auto"/>
      </w:pPr>
      <w:rPr>
        <w:b/>
        <w:bCs/>
      </w:rPr>
      <w:tblPr/>
      <w:tcPr>
        <w:tcBorders>
          <w:top w:val="single" w:sz="8" w:space="0" w:color="009A9B" w:themeColor="accent5"/>
          <w:left w:val="nil"/>
          <w:bottom w:val="single" w:sz="8" w:space="0" w:color="009A9B" w:themeColor="accent5"/>
          <w:right w:val="nil"/>
          <w:insideH w:val="nil"/>
          <w:insideV w:val="nil"/>
        </w:tcBorders>
      </w:tcPr>
    </w:tblStylePr>
    <w:tblStylePr w:type="lastRow">
      <w:pPr>
        <w:spacing w:before="0" w:after="0" w:line="240" w:lineRule="auto"/>
      </w:pPr>
      <w:rPr>
        <w:b/>
        <w:bCs/>
      </w:rPr>
      <w:tblPr/>
      <w:tcPr>
        <w:tcBorders>
          <w:top w:val="single" w:sz="8" w:space="0" w:color="009A9B" w:themeColor="accent5"/>
          <w:left w:val="nil"/>
          <w:bottom w:val="single" w:sz="8" w:space="0" w:color="009A9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EFF" w:themeFill="accent5" w:themeFillTint="3F"/>
      </w:tcPr>
    </w:tblStylePr>
    <w:tblStylePr w:type="band1Horz">
      <w:tblPr/>
      <w:tcPr>
        <w:tcBorders>
          <w:left w:val="nil"/>
          <w:right w:val="nil"/>
          <w:insideH w:val="nil"/>
          <w:insideV w:val="nil"/>
        </w:tcBorders>
        <w:shd w:val="clear" w:color="auto" w:fill="A7FEFF" w:themeFill="accent5" w:themeFillTint="3F"/>
      </w:tcPr>
    </w:tblStylePr>
  </w:style>
  <w:style w:type="table" w:styleId="LightShading-Accent6">
    <w:name w:val="Light Shading Accent 6"/>
    <w:basedOn w:val="TableNormal"/>
    <w:uiPriority w:val="60"/>
    <w:semiHidden/>
    <w:unhideWhenUsed/>
    <w:rsid w:val="009E6ED7"/>
    <w:rPr>
      <w:color w:val="BF9A00" w:themeColor="accent6" w:themeShade="BF"/>
    </w:rPr>
    <w:tblPr>
      <w:tblStyleRowBandSize w:val="1"/>
      <w:tblStyleColBandSize w:val="1"/>
      <w:tblBorders>
        <w:top w:val="single" w:sz="8" w:space="0" w:color="FFCE00" w:themeColor="accent6"/>
        <w:bottom w:val="single" w:sz="8" w:space="0" w:color="FFCE00" w:themeColor="accent6"/>
      </w:tblBorders>
    </w:tblPr>
    <w:tblStylePr w:type="firstRow">
      <w:pPr>
        <w:spacing w:before="0" w:after="0" w:line="240" w:lineRule="auto"/>
      </w:pPr>
      <w:rPr>
        <w:b/>
        <w:bCs/>
      </w:rPr>
      <w:tblPr/>
      <w:tcPr>
        <w:tcBorders>
          <w:top w:val="single" w:sz="8" w:space="0" w:color="FFCE00" w:themeColor="accent6"/>
          <w:left w:val="nil"/>
          <w:bottom w:val="single" w:sz="8" w:space="0" w:color="FFCE00" w:themeColor="accent6"/>
          <w:right w:val="nil"/>
          <w:insideH w:val="nil"/>
          <w:insideV w:val="nil"/>
        </w:tcBorders>
      </w:tcPr>
    </w:tblStylePr>
    <w:tblStylePr w:type="lastRow">
      <w:pPr>
        <w:spacing w:before="0" w:after="0" w:line="240" w:lineRule="auto"/>
      </w:pPr>
      <w:rPr>
        <w:b/>
        <w:bCs/>
      </w:rPr>
      <w:tblPr/>
      <w:tcPr>
        <w:tcBorders>
          <w:top w:val="single" w:sz="8" w:space="0" w:color="FFCE00" w:themeColor="accent6"/>
          <w:left w:val="nil"/>
          <w:bottom w:val="single" w:sz="8" w:space="0" w:color="FFCE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left w:val="nil"/>
          <w:right w:val="nil"/>
          <w:insideH w:val="nil"/>
          <w:insideV w:val="nil"/>
        </w:tcBorders>
        <w:shd w:val="clear" w:color="auto" w:fill="FFF2C0" w:themeFill="accent6" w:themeFillTint="3F"/>
      </w:tcPr>
    </w:tblStylePr>
  </w:style>
  <w:style w:type="table" w:styleId="MediumGrid1">
    <w:name w:val="Medium Grid 1"/>
    <w:basedOn w:val="TableNormal"/>
    <w:uiPriority w:val="67"/>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E6ED7"/>
    <w:tblPr>
      <w:tblStyleRowBandSize w:val="1"/>
      <w:tblStyleColBandSize w:val="1"/>
      <w:tbl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single" w:sz="8" w:space="0" w:color="00E5B0" w:themeColor="accent1" w:themeTint="BF"/>
        <w:insideV w:val="single" w:sz="8" w:space="0" w:color="00E5B0" w:themeColor="accent1" w:themeTint="BF"/>
      </w:tblBorders>
    </w:tblPr>
    <w:tcPr>
      <w:shd w:val="clear" w:color="auto" w:fill="A2FFE9" w:themeFill="accent1" w:themeFillTint="3F"/>
    </w:tcPr>
    <w:tblStylePr w:type="firstRow">
      <w:rPr>
        <w:b/>
        <w:bCs/>
      </w:rPr>
    </w:tblStylePr>
    <w:tblStylePr w:type="lastRow">
      <w:rPr>
        <w:b/>
        <w:bCs/>
      </w:rPr>
      <w:tblPr/>
      <w:tcPr>
        <w:tcBorders>
          <w:top w:val="single" w:sz="18" w:space="0" w:color="00E5B0" w:themeColor="accent1" w:themeTint="BF"/>
        </w:tcBorders>
      </w:tcPr>
    </w:tblStylePr>
    <w:tblStylePr w:type="firstCol">
      <w:rPr>
        <w:b/>
        <w:bCs/>
      </w:rPr>
    </w:tblStylePr>
    <w:tblStylePr w:type="lastCol">
      <w:rPr>
        <w:b/>
        <w:bCs/>
      </w:rPr>
    </w:tblStylePr>
    <w:tblStylePr w:type="band1Vert">
      <w:tblPr/>
      <w:tcPr>
        <w:shd w:val="clear" w:color="auto" w:fill="44FFD3" w:themeFill="accent1" w:themeFillTint="7F"/>
      </w:tcPr>
    </w:tblStylePr>
    <w:tblStylePr w:type="band1Horz">
      <w:tblPr/>
      <w:tcPr>
        <w:shd w:val="clear" w:color="auto" w:fill="44FFD3" w:themeFill="accent1" w:themeFillTint="7F"/>
      </w:tcPr>
    </w:tblStylePr>
  </w:style>
  <w:style w:type="table" w:styleId="MediumGrid1-Accent2">
    <w:name w:val="Medium Grid 1 Accent 2"/>
    <w:basedOn w:val="TableNormal"/>
    <w:uiPriority w:val="67"/>
    <w:semiHidden/>
    <w:unhideWhenUsed/>
    <w:rsid w:val="009E6ED7"/>
    <w:tblPr>
      <w:tblStyleRowBandSize w:val="1"/>
      <w:tblStyleColBandSize w:val="1"/>
      <w:tbl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single" w:sz="8" w:space="0" w:color="0094AE" w:themeColor="accent2" w:themeTint="BF"/>
        <w:insideV w:val="single" w:sz="8" w:space="0" w:color="0094AE" w:themeColor="accent2" w:themeTint="BF"/>
      </w:tblBorders>
    </w:tblPr>
    <w:tcPr>
      <w:shd w:val="clear" w:color="auto" w:fill="90EEFF" w:themeFill="accent2" w:themeFillTint="3F"/>
    </w:tcPr>
    <w:tblStylePr w:type="firstRow">
      <w:rPr>
        <w:b/>
        <w:bCs/>
      </w:rPr>
    </w:tblStylePr>
    <w:tblStylePr w:type="lastRow">
      <w:rPr>
        <w:b/>
        <w:bCs/>
      </w:rPr>
      <w:tblPr/>
      <w:tcPr>
        <w:tcBorders>
          <w:top w:val="single" w:sz="18" w:space="0" w:color="0094AE" w:themeColor="accent2" w:themeTint="BF"/>
        </w:tcBorders>
      </w:tcPr>
    </w:tblStylePr>
    <w:tblStylePr w:type="firstCol">
      <w:rPr>
        <w:b/>
        <w:bCs/>
      </w:rPr>
    </w:tblStylePr>
    <w:tblStylePr w:type="lastCol">
      <w:rPr>
        <w:b/>
        <w:bCs/>
      </w:rPr>
    </w:tblStylePr>
    <w:tblStylePr w:type="band1Vert">
      <w:tblPr/>
      <w:tcPr>
        <w:shd w:val="clear" w:color="auto" w:fill="1FDDFF" w:themeFill="accent2" w:themeFillTint="7F"/>
      </w:tcPr>
    </w:tblStylePr>
    <w:tblStylePr w:type="band1Horz">
      <w:tblPr/>
      <w:tcPr>
        <w:shd w:val="clear" w:color="auto" w:fill="1FDDFF" w:themeFill="accent2" w:themeFillTint="7F"/>
      </w:tcPr>
    </w:tblStylePr>
  </w:style>
  <w:style w:type="table" w:styleId="MediumGrid1-Accent3">
    <w:name w:val="Medium Grid 1 Accent 3"/>
    <w:basedOn w:val="TableNormal"/>
    <w:uiPriority w:val="67"/>
    <w:semiHidden/>
    <w:unhideWhenUsed/>
    <w:rsid w:val="009E6ED7"/>
    <w:tblPr>
      <w:tblStyleRowBandSize w:val="1"/>
      <w:tblStyleColBandSize w:val="1"/>
      <w:tbl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single" w:sz="8" w:space="0" w:color="C1D87D" w:themeColor="accent3" w:themeTint="BF"/>
        <w:insideV w:val="single" w:sz="8" w:space="0" w:color="C1D87D" w:themeColor="accent3" w:themeTint="BF"/>
      </w:tblBorders>
    </w:tblPr>
    <w:tcPr>
      <w:shd w:val="clear" w:color="auto" w:fill="EAF2D4" w:themeFill="accent3" w:themeFillTint="3F"/>
    </w:tcPr>
    <w:tblStylePr w:type="firstRow">
      <w:rPr>
        <w:b/>
        <w:bCs/>
      </w:rPr>
    </w:tblStylePr>
    <w:tblStylePr w:type="lastRow">
      <w:rPr>
        <w:b/>
        <w:bCs/>
      </w:rPr>
      <w:tblPr/>
      <w:tcPr>
        <w:tcBorders>
          <w:top w:val="single" w:sz="18" w:space="0" w:color="C1D87D" w:themeColor="accent3" w:themeTint="BF"/>
        </w:tcBorders>
      </w:tcPr>
    </w:tblStylePr>
    <w:tblStylePr w:type="firstCol">
      <w:rPr>
        <w:b/>
        <w:bCs/>
      </w:rPr>
    </w:tblStylePr>
    <w:tblStylePr w:type="lastCol">
      <w:rPr>
        <w:b/>
        <w:bCs/>
      </w:rPr>
    </w:tblStylePr>
    <w:tblStylePr w:type="band1Vert">
      <w:tblPr/>
      <w:tcPr>
        <w:shd w:val="clear" w:color="auto" w:fill="D6E5A9" w:themeFill="accent3" w:themeFillTint="7F"/>
      </w:tcPr>
    </w:tblStylePr>
    <w:tblStylePr w:type="band1Horz">
      <w:tblPr/>
      <w:tcPr>
        <w:shd w:val="clear" w:color="auto" w:fill="D6E5A9" w:themeFill="accent3" w:themeFillTint="7F"/>
      </w:tcPr>
    </w:tblStylePr>
  </w:style>
  <w:style w:type="table" w:styleId="MediumGrid1-Accent4">
    <w:name w:val="Medium Grid 1 Accent 4"/>
    <w:basedOn w:val="TableNormal"/>
    <w:uiPriority w:val="67"/>
    <w:semiHidden/>
    <w:unhideWhenUsed/>
    <w:rsid w:val="009E6ED7"/>
    <w:tblPr>
      <w:tblStyleRowBandSize w:val="1"/>
      <w:tblStyleColBandSize w:val="1"/>
      <w:tbl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single" w:sz="8" w:space="0" w:color="F05949" w:themeColor="accent4" w:themeTint="BF"/>
        <w:insideV w:val="single" w:sz="8" w:space="0" w:color="F05949" w:themeColor="accent4" w:themeTint="BF"/>
      </w:tblBorders>
    </w:tblPr>
    <w:tcPr>
      <w:shd w:val="clear" w:color="auto" w:fill="FAC8C2" w:themeFill="accent4" w:themeFillTint="3F"/>
    </w:tcPr>
    <w:tblStylePr w:type="firstRow">
      <w:rPr>
        <w:b/>
        <w:bCs/>
      </w:rPr>
    </w:tblStylePr>
    <w:tblStylePr w:type="lastRow">
      <w:rPr>
        <w:b/>
        <w:bCs/>
      </w:rPr>
      <w:tblPr/>
      <w:tcPr>
        <w:tcBorders>
          <w:top w:val="single" w:sz="18" w:space="0" w:color="F05949" w:themeColor="accent4" w:themeTint="BF"/>
        </w:tcBorders>
      </w:tcPr>
    </w:tblStylePr>
    <w:tblStylePr w:type="firstCol">
      <w:rPr>
        <w:b/>
        <w:bCs/>
      </w:rPr>
    </w:tblStylePr>
    <w:tblStylePr w:type="lastCol">
      <w:rPr>
        <w:b/>
        <w:bCs/>
      </w:rPr>
    </w:tblStylePr>
    <w:tblStylePr w:type="band1Vert">
      <w:tblPr/>
      <w:tcPr>
        <w:shd w:val="clear" w:color="auto" w:fill="F59086" w:themeFill="accent4" w:themeFillTint="7F"/>
      </w:tcPr>
    </w:tblStylePr>
    <w:tblStylePr w:type="band1Horz">
      <w:tblPr/>
      <w:tcPr>
        <w:shd w:val="clear" w:color="auto" w:fill="F59086" w:themeFill="accent4" w:themeFillTint="7F"/>
      </w:tcPr>
    </w:tblStylePr>
  </w:style>
  <w:style w:type="table" w:styleId="MediumGrid1-Accent5">
    <w:name w:val="Medium Grid 1 Accent 5"/>
    <w:basedOn w:val="TableNormal"/>
    <w:uiPriority w:val="67"/>
    <w:semiHidden/>
    <w:unhideWhenUsed/>
    <w:rsid w:val="009E6ED7"/>
    <w:tblPr>
      <w:tblStyleRowBandSize w:val="1"/>
      <w:tblStyleColBandSize w:val="1"/>
      <w:tbl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single" w:sz="8" w:space="0" w:color="00F2F4" w:themeColor="accent5" w:themeTint="BF"/>
        <w:insideV w:val="single" w:sz="8" w:space="0" w:color="00F2F4" w:themeColor="accent5" w:themeTint="BF"/>
      </w:tblBorders>
    </w:tblPr>
    <w:tcPr>
      <w:shd w:val="clear" w:color="auto" w:fill="A7FEFF" w:themeFill="accent5" w:themeFillTint="3F"/>
    </w:tcPr>
    <w:tblStylePr w:type="firstRow">
      <w:rPr>
        <w:b/>
        <w:bCs/>
      </w:rPr>
    </w:tblStylePr>
    <w:tblStylePr w:type="lastRow">
      <w:rPr>
        <w:b/>
        <w:bCs/>
      </w:rPr>
      <w:tblPr/>
      <w:tcPr>
        <w:tcBorders>
          <w:top w:val="single" w:sz="18" w:space="0" w:color="00F2F4" w:themeColor="accent5" w:themeTint="BF"/>
        </w:tcBorders>
      </w:tcPr>
    </w:tblStylePr>
    <w:tblStylePr w:type="firstCol">
      <w:rPr>
        <w:b/>
        <w:bCs/>
      </w:rPr>
    </w:tblStylePr>
    <w:tblStylePr w:type="lastCol">
      <w:rPr>
        <w:b/>
        <w:bCs/>
      </w:rPr>
    </w:tblStylePr>
    <w:tblStylePr w:type="band1Vert">
      <w:tblPr/>
      <w:tcPr>
        <w:shd w:val="clear" w:color="auto" w:fill="4EFDFF" w:themeFill="accent5" w:themeFillTint="7F"/>
      </w:tcPr>
    </w:tblStylePr>
    <w:tblStylePr w:type="band1Horz">
      <w:tblPr/>
      <w:tcPr>
        <w:shd w:val="clear" w:color="auto" w:fill="4EFDFF" w:themeFill="accent5" w:themeFillTint="7F"/>
      </w:tcPr>
    </w:tblStylePr>
  </w:style>
  <w:style w:type="table" w:styleId="MediumGrid1-Accent6">
    <w:name w:val="Medium Grid 1 Accent 6"/>
    <w:basedOn w:val="TableNormal"/>
    <w:uiPriority w:val="67"/>
    <w:semiHidden/>
    <w:unhideWhenUsed/>
    <w:rsid w:val="009E6ED7"/>
    <w:tblPr>
      <w:tblStyleRowBandSize w:val="1"/>
      <w:tblStyleColBandSize w:val="1"/>
      <w:tbl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single" w:sz="8" w:space="0" w:color="FFDA40" w:themeColor="accent6" w:themeTint="BF"/>
        <w:insideV w:val="single" w:sz="8" w:space="0" w:color="FFDA40" w:themeColor="accent6" w:themeTint="BF"/>
      </w:tblBorders>
    </w:tblPr>
    <w:tcPr>
      <w:shd w:val="clear" w:color="auto" w:fill="FFF2C0" w:themeFill="accent6" w:themeFillTint="3F"/>
    </w:tcPr>
    <w:tblStylePr w:type="firstRow">
      <w:rPr>
        <w:b/>
        <w:bCs/>
      </w:rPr>
    </w:tblStylePr>
    <w:tblStylePr w:type="lastRow">
      <w:rPr>
        <w:b/>
        <w:bCs/>
      </w:rPr>
      <w:tblPr/>
      <w:tcPr>
        <w:tcBorders>
          <w:top w:val="single" w:sz="18" w:space="0" w:color="FFDA40" w:themeColor="accent6" w:themeTint="BF"/>
        </w:tcBorders>
      </w:tcPr>
    </w:tblStylePr>
    <w:tblStylePr w:type="firstCol">
      <w:rPr>
        <w:b/>
        <w:bCs/>
      </w:rPr>
    </w:tblStylePr>
    <w:tblStylePr w:type="lastCol">
      <w:rPr>
        <w:b/>
        <w:bCs/>
      </w:rPr>
    </w:tblStylePr>
    <w:tblStylePr w:type="band1Vert">
      <w:tblPr/>
      <w:tcPr>
        <w:shd w:val="clear" w:color="auto" w:fill="FFE680" w:themeFill="accent6" w:themeFillTint="7F"/>
      </w:tcPr>
    </w:tblStylePr>
    <w:tblStylePr w:type="band1Horz">
      <w:tblPr/>
      <w:tcPr>
        <w:shd w:val="clear" w:color="auto" w:fill="FFE680" w:themeFill="accent6" w:themeFillTint="7F"/>
      </w:tcPr>
    </w:tblStylePr>
  </w:style>
  <w:style w:type="table" w:styleId="MediumGrid2">
    <w:name w:val="Medium Grid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insideH w:val="single" w:sz="8" w:space="0" w:color="008768" w:themeColor="accent1"/>
        <w:insideV w:val="single" w:sz="8" w:space="0" w:color="008768" w:themeColor="accent1"/>
      </w:tblBorders>
    </w:tblPr>
    <w:tcPr>
      <w:shd w:val="clear" w:color="auto" w:fill="A2FFE9" w:themeFill="accent1" w:themeFillTint="3F"/>
    </w:tcPr>
    <w:tblStylePr w:type="firstRow">
      <w:rPr>
        <w:b/>
        <w:bCs/>
        <w:color w:val="000000" w:themeColor="text1"/>
      </w:rPr>
      <w:tblPr/>
      <w:tcPr>
        <w:shd w:val="clear" w:color="auto" w:fill="DAFF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FED" w:themeFill="accent1" w:themeFillTint="33"/>
      </w:tcPr>
    </w:tblStylePr>
    <w:tblStylePr w:type="band1Vert">
      <w:tblPr/>
      <w:tcPr>
        <w:shd w:val="clear" w:color="auto" w:fill="44FFD3" w:themeFill="accent1" w:themeFillTint="7F"/>
      </w:tcPr>
    </w:tblStylePr>
    <w:tblStylePr w:type="band1Horz">
      <w:tblPr/>
      <w:tcPr>
        <w:tcBorders>
          <w:insideH w:val="single" w:sz="6" w:space="0" w:color="008768" w:themeColor="accent1"/>
          <w:insideV w:val="single" w:sz="6" w:space="0" w:color="008768" w:themeColor="accent1"/>
        </w:tcBorders>
        <w:shd w:val="clear" w:color="auto" w:fill="44FF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insideH w:val="single" w:sz="8" w:space="0" w:color="00353E" w:themeColor="accent2"/>
        <w:insideV w:val="single" w:sz="8" w:space="0" w:color="00353E" w:themeColor="accent2"/>
      </w:tblBorders>
    </w:tblPr>
    <w:tcPr>
      <w:shd w:val="clear" w:color="auto" w:fill="90EEFF" w:themeFill="accent2" w:themeFillTint="3F"/>
    </w:tcPr>
    <w:tblStylePr w:type="firstRow">
      <w:rPr>
        <w:b/>
        <w:bCs/>
        <w:color w:val="000000" w:themeColor="text1"/>
      </w:rPr>
      <w:tblPr/>
      <w:tcPr>
        <w:shd w:val="clear" w:color="auto" w:fill="D3F8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F1FF" w:themeFill="accent2" w:themeFillTint="33"/>
      </w:tcPr>
    </w:tblStylePr>
    <w:tblStylePr w:type="band1Vert">
      <w:tblPr/>
      <w:tcPr>
        <w:shd w:val="clear" w:color="auto" w:fill="1FDDFF" w:themeFill="accent2" w:themeFillTint="7F"/>
      </w:tcPr>
    </w:tblStylePr>
    <w:tblStylePr w:type="band1Horz">
      <w:tblPr/>
      <w:tcPr>
        <w:tcBorders>
          <w:insideH w:val="single" w:sz="6" w:space="0" w:color="00353E" w:themeColor="accent2"/>
          <w:insideV w:val="single" w:sz="6" w:space="0" w:color="00353E" w:themeColor="accent2"/>
        </w:tcBorders>
        <w:shd w:val="clear" w:color="auto" w:fill="1FD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insideH w:val="single" w:sz="8" w:space="0" w:color="AECC53" w:themeColor="accent3"/>
        <w:insideV w:val="single" w:sz="8" w:space="0" w:color="AECC53" w:themeColor="accent3"/>
      </w:tblBorders>
    </w:tblPr>
    <w:tcPr>
      <w:shd w:val="clear" w:color="auto" w:fill="EAF2D4" w:themeFill="accent3" w:themeFillTint="3F"/>
    </w:tcPr>
    <w:tblStylePr w:type="firstRow">
      <w:rPr>
        <w:b/>
        <w:bCs/>
        <w:color w:val="000000" w:themeColor="text1"/>
      </w:rPr>
      <w:tblPr/>
      <w:tcPr>
        <w:shd w:val="clear" w:color="auto" w:fill="F6FA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4DC" w:themeFill="accent3" w:themeFillTint="33"/>
      </w:tcPr>
    </w:tblStylePr>
    <w:tblStylePr w:type="band1Vert">
      <w:tblPr/>
      <w:tcPr>
        <w:shd w:val="clear" w:color="auto" w:fill="D6E5A9" w:themeFill="accent3" w:themeFillTint="7F"/>
      </w:tcPr>
    </w:tblStylePr>
    <w:tblStylePr w:type="band1Horz">
      <w:tblPr/>
      <w:tcPr>
        <w:tcBorders>
          <w:insideH w:val="single" w:sz="6" w:space="0" w:color="AECC53" w:themeColor="accent3"/>
          <w:insideV w:val="single" w:sz="6" w:space="0" w:color="AECC53" w:themeColor="accent3"/>
        </w:tcBorders>
        <w:shd w:val="clear" w:color="auto" w:fill="D6E5A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insideH w:val="single" w:sz="8" w:space="0" w:color="E52713" w:themeColor="accent4"/>
        <w:insideV w:val="single" w:sz="8" w:space="0" w:color="E52713" w:themeColor="accent4"/>
      </w:tblBorders>
    </w:tblPr>
    <w:tcPr>
      <w:shd w:val="clear" w:color="auto" w:fill="FAC8C2" w:themeFill="accent4" w:themeFillTint="3F"/>
    </w:tcPr>
    <w:tblStylePr w:type="firstRow">
      <w:rPr>
        <w:b/>
        <w:bCs/>
        <w:color w:val="000000" w:themeColor="text1"/>
      </w:rPr>
      <w:tblPr/>
      <w:tcPr>
        <w:shd w:val="clear" w:color="auto" w:fill="FDE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2CE" w:themeFill="accent4" w:themeFillTint="33"/>
      </w:tcPr>
    </w:tblStylePr>
    <w:tblStylePr w:type="band1Vert">
      <w:tblPr/>
      <w:tcPr>
        <w:shd w:val="clear" w:color="auto" w:fill="F59086" w:themeFill="accent4" w:themeFillTint="7F"/>
      </w:tcPr>
    </w:tblStylePr>
    <w:tblStylePr w:type="band1Horz">
      <w:tblPr/>
      <w:tcPr>
        <w:tcBorders>
          <w:insideH w:val="single" w:sz="6" w:space="0" w:color="E52713" w:themeColor="accent4"/>
          <w:insideV w:val="single" w:sz="6" w:space="0" w:color="E52713" w:themeColor="accent4"/>
        </w:tcBorders>
        <w:shd w:val="clear" w:color="auto" w:fill="F5908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insideH w:val="single" w:sz="8" w:space="0" w:color="009A9B" w:themeColor="accent5"/>
        <w:insideV w:val="single" w:sz="8" w:space="0" w:color="009A9B" w:themeColor="accent5"/>
      </w:tblBorders>
    </w:tblPr>
    <w:tcPr>
      <w:shd w:val="clear" w:color="auto" w:fill="A7FEFF" w:themeFill="accent5" w:themeFillTint="3F"/>
    </w:tcPr>
    <w:tblStylePr w:type="firstRow">
      <w:rPr>
        <w:b/>
        <w:bCs/>
        <w:color w:val="000000" w:themeColor="text1"/>
      </w:rPr>
      <w:tblPr/>
      <w:tcPr>
        <w:shd w:val="clear" w:color="auto" w:fill="DCFE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FF" w:themeFill="accent5" w:themeFillTint="33"/>
      </w:tcPr>
    </w:tblStylePr>
    <w:tblStylePr w:type="band1Vert">
      <w:tblPr/>
      <w:tcPr>
        <w:shd w:val="clear" w:color="auto" w:fill="4EFDFF" w:themeFill="accent5" w:themeFillTint="7F"/>
      </w:tcPr>
    </w:tblStylePr>
    <w:tblStylePr w:type="band1Horz">
      <w:tblPr/>
      <w:tcPr>
        <w:tcBorders>
          <w:insideH w:val="single" w:sz="6" w:space="0" w:color="009A9B" w:themeColor="accent5"/>
          <w:insideV w:val="single" w:sz="6" w:space="0" w:color="009A9B" w:themeColor="accent5"/>
        </w:tcBorders>
        <w:shd w:val="clear" w:color="auto" w:fill="4EFD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insideH w:val="single" w:sz="8" w:space="0" w:color="FFCE00" w:themeColor="accent6"/>
        <w:insideV w:val="single" w:sz="8" w:space="0" w:color="FFCE00" w:themeColor="accent6"/>
      </w:tblBorders>
    </w:tblPr>
    <w:tcPr>
      <w:shd w:val="clear" w:color="auto" w:fill="FFF2C0" w:themeFill="accent6" w:themeFillTint="3F"/>
    </w:tcPr>
    <w:tblStylePr w:type="firstRow">
      <w:rPr>
        <w:b/>
        <w:bCs/>
        <w:color w:val="000000" w:themeColor="text1"/>
      </w:rPr>
      <w:tblPr/>
      <w:tcPr>
        <w:shd w:val="clear" w:color="auto" w:fill="FFFA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5CC" w:themeFill="accent6" w:themeFillTint="33"/>
      </w:tcPr>
    </w:tblStylePr>
    <w:tblStylePr w:type="band1Vert">
      <w:tblPr/>
      <w:tcPr>
        <w:shd w:val="clear" w:color="auto" w:fill="FFE680" w:themeFill="accent6" w:themeFillTint="7F"/>
      </w:tcPr>
    </w:tblStylePr>
    <w:tblStylePr w:type="band1Horz">
      <w:tblPr/>
      <w:tcPr>
        <w:tcBorders>
          <w:insideH w:val="single" w:sz="6" w:space="0" w:color="FFCE00" w:themeColor="accent6"/>
          <w:insideV w:val="single" w:sz="6" w:space="0" w:color="FFCE00" w:themeColor="accent6"/>
        </w:tcBorders>
        <w:shd w:val="clear" w:color="auto" w:fill="FFE6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F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7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7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7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7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4FF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4FFD3" w:themeFill="accent1" w:themeFillTint="7F"/>
      </w:tcPr>
    </w:tblStylePr>
  </w:style>
  <w:style w:type="table" w:styleId="MediumGrid3-Accent2">
    <w:name w:val="Medium Grid 3 Accent 2"/>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E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3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3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53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53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FD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FDDFF" w:themeFill="accent2" w:themeFillTint="7F"/>
      </w:tcPr>
    </w:tblStylePr>
  </w:style>
  <w:style w:type="table" w:styleId="MediumGrid3-Accent3">
    <w:name w:val="Medium Grid 3 Accent 3"/>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2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CC5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CC5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CC5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CC5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5A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5A9" w:themeFill="accent3" w:themeFillTint="7F"/>
      </w:tcPr>
    </w:tblStylePr>
  </w:style>
  <w:style w:type="table" w:styleId="MediumGrid3-Accent4">
    <w:name w:val="Medium Grid 3 Accent 4"/>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8C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271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271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271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271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908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9086" w:themeFill="accent4" w:themeFillTint="7F"/>
      </w:tcPr>
    </w:tblStylePr>
  </w:style>
  <w:style w:type="table" w:styleId="MediumGrid3-Accent5">
    <w:name w:val="Medium Grid 3 Accent 5"/>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E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A9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A9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A9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A9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D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DFF" w:themeFill="accent5" w:themeFillTint="7F"/>
      </w:tcPr>
    </w:tblStylePr>
  </w:style>
  <w:style w:type="table" w:styleId="MediumGrid3-Accent6">
    <w:name w:val="Medium Grid 3 Accent 6"/>
    <w:basedOn w:val="TableNormal"/>
    <w:uiPriority w:val="69"/>
    <w:semiHidden/>
    <w:unhideWhenUsed/>
    <w:rsid w:val="009E6ED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E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E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E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E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6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680" w:themeFill="accent6" w:themeFillTint="7F"/>
      </w:tcPr>
    </w:tblStylePr>
  </w:style>
  <w:style w:type="table" w:styleId="MediumList1">
    <w:name w:val="Medium List 1"/>
    <w:basedOn w:val="TableNormal"/>
    <w:uiPriority w:val="65"/>
    <w:semiHidden/>
    <w:unhideWhenUsed/>
    <w:rsid w:val="009E6ED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E6ED7"/>
    <w:rPr>
      <w:color w:val="000000" w:themeColor="text1"/>
    </w:rPr>
    <w:tblPr>
      <w:tblStyleRowBandSize w:val="1"/>
      <w:tblStyleColBandSize w:val="1"/>
      <w:tblBorders>
        <w:top w:val="single" w:sz="8" w:space="0" w:color="008768" w:themeColor="accent1"/>
        <w:bottom w:val="single" w:sz="8" w:space="0" w:color="008768" w:themeColor="accent1"/>
      </w:tblBorders>
    </w:tblPr>
    <w:tblStylePr w:type="firstRow">
      <w:rPr>
        <w:rFonts w:asciiTheme="majorHAnsi" w:eastAsiaTheme="majorEastAsia" w:hAnsiTheme="majorHAnsi" w:cstheme="majorBidi"/>
      </w:rPr>
      <w:tblPr/>
      <w:tcPr>
        <w:tcBorders>
          <w:top w:val="nil"/>
          <w:bottom w:val="single" w:sz="8" w:space="0" w:color="008768" w:themeColor="accent1"/>
        </w:tcBorders>
      </w:tcPr>
    </w:tblStylePr>
    <w:tblStylePr w:type="lastRow">
      <w:rPr>
        <w:b/>
        <w:bCs/>
        <w:color w:val="000000" w:themeColor="text2"/>
      </w:rPr>
      <w:tblPr/>
      <w:tcPr>
        <w:tcBorders>
          <w:top w:val="single" w:sz="8" w:space="0" w:color="008768" w:themeColor="accent1"/>
          <w:bottom w:val="single" w:sz="8" w:space="0" w:color="008768" w:themeColor="accent1"/>
        </w:tcBorders>
      </w:tcPr>
    </w:tblStylePr>
    <w:tblStylePr w:type="firstCol">
      <w:rPr>
        <w:b/>
        <w:bCs/>
      </w:rPr>
    </w:tblStylePr>
    <w:tblStylePr w:type="lastCol">
      <w:rPr>
        <w:b/>
        <w:bCs/>
      </w:rPr>
      <w:tblPr/>
      <w:tcPr>
        <w:tcBorders>
          <w:top w:val="single" w:sz="8" w:space="0" w:color="008768" w:themeColor="accent1"/>
          <w:bottom w:val="single" w:sz="8" w:space="0" w:color="008768" w:themeColor="accent1"/>
        </w:tcBorders>
      </w:tcPr>
    </w:tblStylePr>
    <w:tblStylePr w:type="band1Vert">
      <w:tblPr/>
      <w:tcPr>
        <w:shd w:val="clear" w:color="auto" w:fill="A2FFE9" w:themeFill="accent1" w:themeFillTint="3F"/>
      </w:tcPr>
    </w:tblStylePr>
    <w:tblStylePr w:type="band1Horz">
      <w:tblPr/>
      <w:tcPr>
        <w:shd w:val="clear" w:color="auto" w:fill="A2FFE9" w:themeFill="accent1" w:themeFillTint="3F"/>
      </w:tcPr>
    </w:tblStylePr>
  </w:style>
  <w:style w:type="table" w:styleId="MediumList1-Accent2">
    <w:name w:val="Medium List 1 Accent 2"/>
    <w:basedOn w:val="TableNormal"/>
    <w:uiPriority w:val="65"/>
    <w:semiHidden/>
    <w:unhideWhenUsed/>
    <w:rsid w:val="009E6ED7"/>
    <w:rPr>
      <w:color w:val="000000" w:themeColor="text1"/>
    </w:rPr>
    <w:tblPr>
      <w:tblStyleRowBandSize w:val="1"/>
      <w:tblStyleColBandSize w:val="1"/>
      <w:tblBorders>
        <w:top w:val="single" w:sz="8" w:space="0" w:color="00353E" w:themeColor="accent2"/>
        <w:bottom w:val="single" w:sz="8" w:space="0" w:color="00353E" w:themeColor="accent2"/>
      </w:tblBorders>
    </w:tblPr>
    <w:tblStylePr w:type="firstRow">
      <w:rPr>
        <w:rFonts w:asciiTheme="majorHAnsi" w:eastAsiaTheme="majorEastAsia" w:hAnsiTheme="majorHAnsi" w:cstheme="majorBidi"/>
      </w:rPr>
      <w:tblPr/>
      <w:tcPr>
        <w:tcBorders>
          <w:top w:val="nil"/>
          <w:bottom w:val="single" w:sz="8" w:space="0" w:color="00353E" w:themeColor="accent2"/>
        </w:tcBorders>
      </w:tcPr>
    </w:tblStylePr>
    <w:tblStylePr w:type="lastRow">
      <w:rPr>
        <w:b/>
        <w:bCs/>
        <w:color w:val="000000" w:themeColor="text2"/>
      </w:rPr>
      <w:tblPr/>
      <w:tcPr>
        <w:tcBorders>
          <w:top w:val="single" w:sz="8" w:space="0" w:color="00353E" w:themeColor="accent2"/>
          <w:bottom w:val="single" w:sz="8" w:space="0" w:color="00353E" w:themeColor="accent2"/>
        </w:tcBorders>
      </w:tcPr>
    </w:tblStylePr>
    <w:tblStylePr w:type="firstCol">
      <w:rPr>
        <w:b/>
        <w:bCs/>
      </w:rPr>
    </w:tblStylePr>
    <w:tblStylePr w:type="lastCol">
      <w:rPr>
        <w:b/>
        <w:bCs/>
      </w:rPr>
      <w:tblPr/>
      <w:tcPr>
        <w:tcBorders>
          <w:top w:val="single" w:sz="8" w:space="0" w:color="00353E" w:themeColor="accent2"/>
          <w:bottom w:val="single" w:sz="8" w:space="0" w:color="00353E" w:themeColor="accent2"/>
        </w:tcBorders>
      </w:tcPr>
    </w:tblStylePr>
    <w:tblStylePr w:type="band1Vert">
      <w:tblPr/>
      <w:tcPr>
        <w:shd w:val="clear" w:color="auto" w:fill="90EEFF" w:themeFill="accent2" w:themeFillTint="3F"/>
      </w:tcPr>
    </w:tblStylePr>
    <w:tblStylePr w:type="band1Horz">
      <w:tblPr/>
      <w:tcPr>
        <w:shd w:val="clear" w:color="auto" w:fill="90EEFF" w:themeFill="accent2" w:themeFillTint="3F"/>
      </w:tcPr>
    </w:tblStylePr>
  </w:style>
  <w:style w:type="table" w:styleId="MediumList1-Accent3">
    <w:name w:val="Medium List 1 Accent 3"/>
    <w:basedOn w:val="TableNormal"/>
    <w:uiPriority w:val="65"/>
    <w:semiHidden/>
    <w:unhideWhenUsed/>
    <w:rsid w:val="009E6ED7"/>
    <w:rPr>
      <w:color w:val="000000" w:themeColor="text1"/>
    </w:rPr>
    <w:tblPr>
      <w:tblStyleRowBandSize w:val="1"/>
      <w:tblStyleColBandSize w:val="1"/>
      <w:tblBorders>
        <w:top w:val="single" w:sz="8" w:space="0" w:color="AECC53" w:themeColor="accent3"/>
        <w:bottom w:val="single" w:sz="8" w:space="0" w:color="AECC53" w:themeColor="accent3"/>
      </w:tblBorders>
    </w:tblPr>
    <w:tblStylePr w:type="firstRow">
      <w:rPr>
        <w:rFonts w:asciiTheme="majorHAnsi" w:eastAsiaTheme="majorEastAsia" w:hAnsiTheme="majorHAnsi" w:cstheme="majorBidi"/>
      </w:rPr>
      <w:tblPr/>
      <w:tcPr>
        <w:tcBorders>
          <w:top w:val="nil"/>
          <w:bottom w:val="single" w:sz="8" w:space="0" w:color="AECC53" w:themeColor="accent3"/>
        </w:tcBorders>
      </w:tcPr>
    </w:tblStylePr>
    <w:tblStylePr w:type="lastRow">
      <w:rPr>
        <w:b/>
        <w:bCs/>
        <w:color w:val="000000" w:themeColor="text2"/>
      </w:rPr>
      <w:tblPr/>
      <w:tcPr>
        <w:tcBorders>
          <w:top w:val="single" w:sz="8" w:space="0" w:color="AECC53" w:themeColor="accent3"/>
          <w:bottom w:val="single" w:sz="8" w:space="0" w:color="AECC53" w:themeColor="accent3"/>
        </w:tcBorders>
      </w:tcPr>
    </w:tblStylePr>
    <w:tblStylePr w:type="firstCol">
      <w:rPr>
        <w:b/>
        <w:bCs/>
      </w:rPr>
    </w:tblStylePr>
    <w:tblStylePr w:type="lastCol">
      <w:rPr>
        <w:b/>
        <w:bCs/>
      </w:rPr>
      <w:tblPr/>
      <w:tcPr>
        <w:tcBorders>
          <w:top w:val="single" w:sz="8" w:space="0" w:color="AECC53" w:themeColor="accent3"/>
          <w:bottom w:val="single" w:sz="8" w:space="0" w:color="AECC53" w:themeColor="accent3"/>
        </w:tcBorders>
      </w:tcPr>
    </w:tblStylePr>
    <w:tblStylePr w:type="band1Vert">
      <w:tblPr/>
      <w:tcPr>
        <w:shd w:val="clear" w:color="auto" w:fill="EAF2D4" w:themeFill="accent3" w:themeFillTint="3F"/>
      </w:tcPr>
    </w:tblStylePr>
    <w:tblStylePr w:type="band1Horz">
      <w:tblPr/>
      <w:tcPr>
        <w:shd w:val="clear" w:color="auto" w:fill="EAF2D4" w:themeFill="accent3" w:themeFillTint="3F"/>
      </w:tcPr>
    </w:tblStylePr>
  </w:style>
  <w:style w:type="table" w:styleId="MediumList1-Accent4">
    <w:name w:val="Medium List 1 Accent 4"/>
    <w:basedOn w:val="TableNormal"/>
    <w:uiPriority w:val="65"/>
    <w:semiHidden/>
    <w:unhideWhenUsed/>
    <w:rsid w:val="009E6ED7"/>
    <w:rPr>
      <w:color w:val="000000" w:themeColor="text1"/>
    </w:rPr>
    <w:tblPr>
      <w:tblStyleRowBandSize w:val="1"/>
      <w:tblStyleColBandSize w:val="1"/>
      <w:tblBorders>
        <w:top w:val="single" w:sz="8" w:space="0" w:color="E52713" w:themeColor="accent4"/>
        <w:bottom w:val="single" w:sz="8" w:space="0" w:color="E52713" w:themeColor="accent4"/>
      </w:tblBorders>
    </w:tblPr>
    <w:tblStylePr w:type="firstRow">
      <w:rPr>
        <w:rFonts w:asciiTheme="majorHAnsi" w:eastAsiaTheme="majorEastAsia" w:hAnsiTheme="majorHAnsi" w:cstheme="majorBidi"/>
      </w:rPr>
      <w:tblPr/>
      <w:tcPr>
        <w:tcBorders>
          <w:top w:val="nil"/>
          <w:bottom w:val="single" w:sz="8" w:space="0" w:color="E52713" w:themeColor="accent4"/>
        </w:tcBorders>
      </w:tcPr>
    </w:tblStylePr>
    <w:tblStylePr w:type="lastRow">
      <w:rPr>
        <w:b/>
        <w:bCs/>
        <w:color w:val="000000" w:themeColor="text2"/>
      </w:rPr>
      <w:tblPr/>
      <w:tcPr>
        <w:tcBorders>
          <w:top w:val="single" w:sz="8" w:space="0" w:color="E52713" w:themeColor="accent4"/>
          <w:bottom w:val="single" w:sz="8" w:space="0" w:color="E52713" w:themeColor="accent4"/>
        </w:tcBorders>
      </w:tcPr>
    </w:tblStylePr>
    <w:tblStylePr w:type="firstCol">
      <w:rPr>
        <w:b/>
        <w:bCs/>
      </w:rPr>
    </w:tblStylePr>
    <w:tblStylePr w:type="lastCol">
      <w:rPr>
        <w:b/>
        <w:bCs/>
      </w:rPr>
      <w:tblPr/>
      <w:tcPr>
        <w:tcBorders>
          <w:top w:val="single" w:sz="8" w:space="0" w:color="E52713" w:themeColor="accent4"/>
          <w:bottom w:val="single" w:sz="8" w:space="0" w:color="E52713" w:themeColor="accent4"/>
        </w:tcBorders>
      </w:tcPr>
    </w:tblStylePr>
    <w:tblStylePr w:type="band1Vert">
      <w:tblPr/>
      <w:tcPr>
        <w:shd w:val="clear" w:color="auto" w:fill="FAC8C2" w:themeFill="accent4" w:themeFillTint="3F"/>
      </w:tcPr>
    </w:tblStylePr>
    <w:tblStylePr w:type="band1Horz">
      <w:tblPr/>
      <w:tcPr>
        <w:shd w:val="clear" w:color="auto" w:fill="FAC8C2" w:themeFill="accent4" w:themeFillTint="3F"/>
      </w:tcPr>
    </w:tblStylePr>
  </w:style>
  <w:style w:type="table" w:styleId="MediumList1-Accent5">
    <w:name w:val="Medium List 1 Accent 5"/>
    <w:basedOn w:val="TableNormal"/>
    <w:uiPriority w:val="65"/>
    <w:semiHidden/>
    <w:unhideWhenUsed/>
    <w:rsid w:val="009E6ED7"/>
    <w:rPr>
      <w:color w:val="000000" w:themeColor="text1"/>
    </w:rPr>
    <w:tblPr>
      <w:tblStyleRowBandSize w:val="1"/>
      <w:tblStyleColBandSize w:val="1"/>
      <w:tblBorders>
        <w:top w:val="single" w:sz="8" w:space="0" w:color="009A9B" w:themeColor="accent5"/>
        <w:bottom w:val="single" w:sz="8" w:space="0" w:color="009A9B" w:themeColor="accent5"/>
      </w:tblBorders>
    </w:tblPr>
    <w:tblStylePr w:type="firstRow">
      <w:rPr>
        <w:rFonts w:asciiTheme="majorHAnsi" w:eastAsiaTheme="majorEastAsia" w:hAnsiTheme="majorHAnsi" w:cstheme="majorBidi"/>
      </w:rPr>
      <w:tblPr/>
      <w:tcPr>
        <w:tcBorders>
          <w:top w:val="nil"/>
          <w:bottom w:val="single" w:sz="8" w:space="0" w:color="009A9B" w:themeColor="accent5"/>
        </w:tcBorders>
      </w:tcPr>
    </w:tblStylePr>
    <w:tblStylePr w:type="lastRow">
      <w:rPr>
        <w:b/>
        <w:bCs/>
        <w:color w:val="000000" w:themeColor="text2"/>
      </w:rPr>
      <w:tblPr/>
      <w:tcPr>
        <w:tcBorders>
          <w:top w:val="single" w:sz="8" w:space="0" w:color="009A9B" w:themeColor="accent5"/>
          <w:bottom w:val="single" w:sz="8" w:space="0" w:color="009A9B" w:themeColor="accent5"/>
        </w:tcBorders>
      </w:tcPr>
    </w:tblStylePr>
    <w:tblStylePr w:type="firstCol">
      <w:rPr>
        <w:b/>
        <w:bCs/>
      </w:rPr>
    </w:tblStylePr>
    <w:tblStylePr w:type="lastCol">
      <w:rPr>
        <w:b/>
        <w:bCs/>
      </w:rPr>
      <w:tblPr/>
      <w:tcPr>
        <w:tcBorders>
          <w:top w:val="single" w:sz="8" w:space="0" w:color="009A9B" w:themeColor="accent5"/>
          <w:bottom w:val="single" w:sz="8" w:space="0" w:color="009A9B" w:themeColor="accent5"/>
        </w:tcBorders>
      </w:tcPr>
    </w:tblStylePr>
    <w:tblStylePr w:type="band1Vert">
      <w:tblPr/>
      <w:tcPr>
        <w:shd w:val="clear" w:color="auto" w:fill="A7FEFF" w:themeFill="accent5" w:themeFillTint="3F"/>
      </w:tcPr>
    </w:tblStylePr>
    <w:tblStylePr w:type="band1Horz">
      <w:tblPr/>
      <w:tcPr>
        <w:shd w:val="clear" w:color="auto" w:fill="A7FEFF" w:themeFill="accent5" w:themeFillTint="3F"/>
      </w:tcPr>
    </w:tblStylePr>
  </w:style>
  <w:style w:type="table" w:styleId="MediumList1-Accent6">
    <w:name w:val="Medium List 1 Accent 6"/>
    <w:basedOn w:val="TableNormal"/>
    <w:uiPriority w:val="65"/>
    <w:semiHidden/>
    <w:unhideWhenUsed/>
    <w:rsid w:val="009E6ED7"/>
    <w:rPr>
      <w:color w:val="000000" w:themeColor="text1"/>
    </w:rPr>
    <w:tblPr>
      <w:tblStyleRowBandSize w:val="1"/>
      <w:tblStyleColBandSize w:val="1"/>
      <w:tblBorders>
        <w:top w:val="single" w:sz="8" w:space="0" w:color="FFCE00" w:themeColor="accent6"/>
        <w:bottom w:val="single" w:sz="8" w:space="0" w:color="FFCE00" w:themeColor="accent6"/>
      </w:tblBorders>
    </w:tblPr>
    <w:tblStylePr w:type="firstRow">
      <w:rPr>
        <w:rFonts w:asciiTheme="majorHAnsi" w:eastAsiaTheme="majorEastAsia" w:hAnsiTheme="majorHAnsi" w:cstheme="majorBidi"/>
      </w:rPr>
      <w:tblPr/>
      <w:tcPr>
        <w:tcBorders>
          <w:top w:val="nil"/>
          <w:bottom w:val="single" w:sz="8" w:space="0" w:color="FFCE00" w:themeColor="accent6"/>
        </w:tcBorders>
      </w:tcPr>
    </w:tblStylePr>
    <w:tblStylePr w:type="lastRow">
      <w:rPr>
        <w:b/>
        <w:bCs/>
        <w:color w:val="000000" w:themeColor="text2"/>
      </w:rPr>
      <w:tblPr/>
      <w:tcPr>
        <w:tcBorders>
          <w:top w:val="single" w:sz="8" w:space="0" w:color="FFCE00" w:themeColor="accent6"/>
          <w:bottom w:val="single" w:sz="8" w:space="0" w:color="FFCE00" w:themeColor="accent6"/>
        </w:tcBorders>
      </w:tcPr>
    </w:tblStylePr>
    <w:tblStylePr w:type="firstCol">
      <w:rPr>
        <w:b/>
        <w:bCs/>
      </w:rPr>
    </w:tblStylePr>
    <w:tblStylePr w:type="lastCol">
      <w:rPr>
        <w:b/>
        <w:bCs/>
      </w:rPr>
      <w:tblPr/>
      <w:tcPr>
        <w:tcBorders>
          <w:top w:val="single" w:sz="8" w:space="0" w:color="FFCE00" w:themeColor="accent6"/>
          <w:bottom w:val="single" w:sz="8" w:space="0" w:color="FFCE00" w:themeColor="accent6"/>
        </w:tcBorders>
      </w:tcPr>
    </w:tblStylePr>
    <w:tblStylePr w:type="band1Vert">
      <w:tblPr/>
      <w:tcPr>
        <w:shd w:val="clear" w:color="auto" w:fill="FFF2C0" w:themeFill="accent6" w:themeFillTint="3F"/>
      </w:tcPr>
    </w:tblStylePr>
    <w:tblStylePr w:type="band1Horz">
      <w:tblPr/>
      <w:tcPr>
        <w:shd w:val="clear" w:color="auto" w:fill="FFF2C0" w:themeFill="accent6" w:themeFillTint="3F"/>
      </w:tcPr>
    </w:tblStylePr>
  </w:style>
  <w:style w:type="table" w:styleId="MediumList2">
    <w:name w:val="Medium Lis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tblBorders>
    </w:tblPr>
    <w:tblStylePr w:type="firstRow">
      <w:rPr>
        <w:sz w:val="24"/>
        <w:szCs w:val="24"/>
      </w:rPr>
      <w:tblPr/>
      <w:tcPr>
        <w:tcBorders>
          <w:top w:val="nil"/>
          <w:left w:val="nil"/>
          <w:bottom w:val="single" w:sz="24" w:space="0" w:color="008768" w:themeColor="accent1"/>
          <w:right w:val="nil"/>
          <w:insideH w:val="nil"/>
          <w:insideV w:val="nil"/>
        </w:tcBorders>
        <w:shd w:val="clear" w:color="auto" w:fill="FFFFFF" w:themeFill="background1"/>
      </w:tcPr>
    </w:tblStylePr>
    <w:tblStylePr w:type="lastRow">
      <w:tblPr/>
      <w:tcPr>
        <w:tcBorders>
          <w:top w:val="single" w:sz="8" w:space="0" w:color="00876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768" w:themeColor="accent1"/>
          <w:insideH w:val="nil"/>
          <w:insideV w:val="nil"/>
        </w:tcBorders>
        <w:shd w:val="clear" w:color="auto" w:fill="FFFFFF" w:themeFill="background1"/>
      </w:tcPr>
    </w:tblStylePr>
    <w:tblStylePr w:type="lastCol">
      <w:tblPr/>
      <w:tcPr>
        <w:tcBorders>
          <w:top w:val="nil"/>
          <w:left w:val="single" w:sz="8" w:space="0" w:color="00876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E9" w:themeFill="accent1" w:themeFillTint="3F"/>
      </w:tcPr>
    </w:tblStylePr>
    <w:tblStylePr w:type="band1Horz">
      <w:tblPr/>
      <w:tcPr>
        <w:tcBorders>
          <w:top w:val="nil"/>
          <w:bottom w:val="nil"/>
          <w:insideH w:val="nil"/>
          <w:insideV w:val="nil"/>
        </w:tcBorders>
        <w:shd w:val="clear" w:color="auto" w:fill="A2FF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tblBorders>
    </w:tblPr>
    <w:tblStylePr w:type="firstRow">
      <w:rPr>
        <w:sz w:val="24"/>
        <w:szCs w:val="24"/>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tblPr/>
      <w:tcPr>
        <w:tcBorders>
          <w:top w:val="single" w:sz="8" w:space="0" w:color="00353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53E" w:themeColor="accent2"/>
          <w:insideH w:val="nil"/>
          <w:insideV w:val="nil"/>
        </w:tcBorders>
        <w:shd w:val="clear" w:color="auto" w:fill="FFFFFF" w:themeFill="background1"/>
      </w:tcPr>
    </w:tblStylePr>
    <w:tblStylePr w:type="lastCol">
      <w:tblPr/>
      <w:tcPr>
        <w:tcBorders>
          <w:top w:val="nil"/>
          <w:left w:val="single" w:sz="8" w:space="0" w:color="00353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EEFF" w:themeFill="accent2" w:themeFillTint="3F"/>
      </w:tcPr>
    </w:tblStylePr>
    <w:tblStylePr w:type="band1Horz">
      <w:tblPr/>
      <w:tcPr>
        <w:tcBorders>
          <w:top w:val="nil"/>
          <w:bottom w:val="nil"/>
          <w:insideH w:val="nil"/>
          <w:insideV w:val="nil"/>
        </w:tcBorders>
        <w:shd w:val="clear" w:color="auto" w:fill="90E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tblBorders>
    </w:tblPr>
    <w:tblStylePr w:type="firstRow">
      <w:rPr>
        <w:sz w:val="24"/>
        <w:szCs w:val="24"/>
      </w:rPr>
      <w:tblPr/>
      <w:tcPr>
        <w:tcBorders>
          <w:top w:val="nil"/>
          <w:left w:val="nil"/>
          <w:bottom w:val="single" w:sz="24" w:space="0" w:color="AECC53" w:themeColor="accent3"/>
          <w:right w:val="nil"/>
          <w:insideH w:val="nil"/>
          <w:insideV w:val="nil"/>
        </w:tcBorders>
        <w:shd w:val="clear" w:color="auto" w:fill="FFFFFF" w:themeFill="background1"/>
      </w:tcPr>
    </w:tblStylePr>
    <w:tblStylePr w:type="lastRow">
      <w:tblPr/>
      <w:tcPr>
        <w:tcBorders>
          <w:top w:val="single" w:sz="8" w:space="0" w:color="AECC5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CC53" w:themeColor="accent3"/>
          <w:insideH w:val="nil"/>
          <w:insideV w:val="nil"/>
        </w:tcBorders>
        <w:shd w:val="clear" w:color="auto" w:fill="FFFFFF" w:themeFill="background1"/>
      </w:tcPr>
    </w:tblStylePr>
    <w:tblStylePr w:type="lastCol">
      <w:tblPr/>
      <w:tcPr>
        <w:tcBorders>
          <w:top w:val="nil"/>
          <w:left w:val="single" w:sz="8" w:space="0" w:color="AECC5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2D4" w:themeFill="accent3" w:themeFillTint="3F"/>
      </w:tcPr>
    </w:tblStylePr>
    <w:tblStylePr w:type="band1Horz">
      <w:tblPr/>
      <w:tcPr>
        <w:tcBorders>
          <w:top w:val="nil"/>
          <w:bottom w:val="nil"/>
          <w:insideH w:val="nil"/>
          <w:insideV w:val="nil"/>
        </w:tcBorders>
        <w:shd w:val="clear" w:color="auto" w:fill="EAF2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tblBorders>
    </w:tblPr>
    <w:tblStylePr w:type="firstRow">
      <w:rPr>
        <w:sz w:val="24"/>
        <w:szCs w:val="24"/>
      </w:rPr>
      <w:tblPr/>
      <w:tcPr>
        <w:tcBorders>
          <w:top w:val="nil"/>
          <w:left w:val="nil"/>
          <w:bottom w:val="single" w:sz="24" w:space="0" w:color="E52713" w:themeColor="accent4"/>
          <w:right w:val="nil"/>
          <w:insideH w:val="nil"/>
          <w:insideV w:val="nil"/>
        </w:tcBorders>
        <w:shd w:val="clear" w:color="auto" w:fill="FFFFFF" w:themeFill="background1"/>
      </w:tcPr>
    </w:tblStylePr>
    <w:tblStylePr w:type="lastRow">
      <w:tblPr/>
      <w:tcPr>
        <w:tcBorders>
          <w:top w:val="single" w:sz="8" w:space="0" w:color="E5271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2713" w:themeColor="accent4"/>
          <w:insideH w:val="nil"/>
          <w:insideV w:val="nil"/>
        </w:tcBorders>
        <w:shd w:val="clear" w:color="auto" w:fill="FFFFFF" w:themeFill="background1"/>
      </w:tcPr>
    </w:tblStylePr>
    <w:tblStylePr w:type="lastCol">
      <w:tblPr/>
      <w:tcPr>
        <w:tcBorders>
          <w:top w:val="nil"/>
          <w:left w:val="single" w:sz="8" w:space="0" w:color="E5271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8C2" w:themeFill="accent4" w:themeFillTint="3F"/>
      </w:tcPr>
    </w:tblStylePr>
    <w:tblStylePr w:type="band1Horz">
      <w:tblPr/>
      <w:tcPr>
        <w:tcBorders>
          <w:top w:val="nil"/>
          <w:bottom w:val="nil"/>
          <w:insideH w:val="nil"/>
          <w:insideV w:val="nil"/>
        </w:tcBorders>
        <w:shd w:val="clear" w:color="auto" w:fill="FAC8C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tblBorders>
    </w:tblPr>
    <w:tblStylePr w:type="firstRow">
      <w:rPr>
        <w:sz w:val="24"/>
        <w:szCs w:val="24"/>
      </w:rPr>
      <w:tblPr/>
      <w:tcPr>
        <w:tcBorders>
          <w:top w:val="nil"/>
          <w:left w:val="nil"/>
          <w:bottom w:val="single" w:sz="24" w:space="0" w:color="009A9B" w:themeColor="accent5"/>
          <w:right w:val="nil"/>
          <w:insideH w:val="nil"/>
          <w:insideV w:val="nil"/>
        </w:tcBorders>
        <w:shd w:val="clear" w:color="auto" w:fill="FFFFFF" w:themeFill="background1"/>
      </w:tcPr>
    </w:tblStylePr>
    <w:tblStylePr w:type="lastRow">
      <w:tblPr/>
      <w:tcPr>
        <w:tcBorders>
          <w:top w:val="single" w:sz="8" w:space="0" w:color="009A9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A9B" w:themeColor="accent5"/>
          <w:insideH w:val="nil"/>
          <w:insideV w:val="nil"/>
        </w:tcBorders>
        <w:shd w:val="clear" w:color="auto" w:fill="FFFFFF" w:themeFill="background1"/>
      </w:tcPr>
    </w:tblStylePr>
    <w:tblStylePr w:type="lastCol">
      <w:tblPr/>
      <w:tcPr>
        <w:tcBorders>
          <w:top w:val="nil"/>
          <w:left w:val="single" w:sz="8" w:space="0" w:color="009A9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EFF" w:themeFill="accent5" w:themeFillTint="3F"/>
      </w:tcPr>
    </w:tblStylePr>
    <w:tblStylePr w:type="band1Horz">
      <w:tblPr/>
      <w:tcPr>
        <w:tcBorders>
          <w:top w:val="nil"/>
          <w:bottom w:val="nil"/>
          <w:insideH w:val="nil"/>
          <w:insideV w:val="nil"/>
        </w:tcBorders>
        <w:shd w:val="clear" w:color="auto" w:fill="A7FE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E6ED7"/>
    <w:rPr>
      <w:rFonts w:asciiTheme="majorHAnsi" w:eastAsiaTheme="majorEastAsia" w:hAnsiTheme="majorHAnsi" w:cstheme="majorBidi"/>
      <w:color w:val="000000" w:themeColor="text1"/>
    </w:rPr>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tblBorders>
    </w:tblPr>
    <w:tblStylePr w:type="firstRow">
      <w:rPr>
        <w:sz w:val="24"/>
        <w:szCs w:val="24"/>
      </w:rPr>
      <w:tblPr/>
      <w:tcPr>
        <w:tcBorders>
          <w:top w:val="nil"/>
          <w:left w:val="nil"/>
          <w:bottom w:val="single" w:sz="24" w:space="0" w:color="FFCE00" w:themeColor="accent6"/>
          <w:right w:val="nil"/>
          <w:insideH w:val="nil"/>
          <w:insideV w:val="nil"/>
        </w:tcBorders>
        <w:shd w:val="clear" w:color="auto" w:fill="FFFFFF" w:themeFill="background1"/>
      </w:tcPr>
    </w:tblStylePr>
    <w:tblStylePr w:type="lastRow">
      <w:tblPr/>
      <w:tcPr>
        <w:tcBorders>
          <w:top w:val="single" w:sz="8" w:space="0" w:color="FFCE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E00" w:themeColor="accent6"/>
          <w:insideH w:val="nil"/>
          <w:insideV w:val="nil"/>
        </w:tcBorders>
        <w:shd w:val="clear" w:color="auto" w:fill="FFFFFF" w:themeFill="background1"/>
      </w:tcPr>
    </w:tblStylePr>
    <w:tblStylePr w:type="lastCol">
      <w:tblPr/>
      <w:tcPr>
        <w:tcBorders>
          <w:top w:val="nil"/>
          <w:left w:val="single" w:sz="8" w:space="0" w:color="FFCE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top w:val="nil"/>
          <w:bottom w:val="nil"/>
          <w:insideH w:val="nil"/>
          <w:insideV w:val="nil"/>
        </w:tcBorders>
        <w:shd w:val="clear" w:color="auto" w:fill="FFF2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E6ED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E6ED7"/>
    <w:tblPr>
      <w:tblStyleRowBandSize w:val="1"/>
      <w:tblStyleColBandSize w:val="1"/>
      <w:tbl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single" w:sz="8" w:space="0" w:color="00E5B0" w:themeColor="accent1" w:themeTint="BF"/>
      </w:tblBorders>
    </w:tblPr>
    <w:tblStylePr w:type="firstRow">
      <w:pPr>
        <w:spacing w:before="0" w:after="0" w:line="240" w:lineRule="auto"/>
      </w:pPr>
      <w:rPr>
        <w:b/>
        <w:bCs/>
        <w:color w:val="FFFFFF" w:themeColor="background1"/>
      </w:rPr>
      <w:tblPr/>
      <w:tcPr>
        <w:tc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nil"/>
          <w:insideV w:val="nil"/>
        </w:tcBorders>
        <w:shd w:val="clear" w:color="auto" w:fill="008768" w:themeFill="accent1"/>
      </w:tcPr>
    </w:tblStylePr>
    <w:tblStylePr w:type="lastRow">
      <w:pPr>
        <w:spacing w:before="0" w:after="0" w:line="240" w:lineRule="auto"/>
      </w:pPr>
      <w:rPr>
        <w:b/>
        <w:bCs/>
      </w:rPr>
      <w:tblPr/>
      <w:tcPr>
        <w:tcBorders>
          <w:top w:val="double" w:sz="6"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nil"/>
          <w:insideV w:val="nil"/>
        </w:tcBorders>
      </w:tcPr>
    </w:tblStylePr>
    <w:tblStylePr w:type="firstCol">
      <w:rPr>
        <w:b/>
        <w:bCs/>
      </w:rPr>
    </w:tblStylePr>
    <w:tblStylePr w:type="lastCol">
      <w:rPr>
        <w:b/>
        <w:bCs/>
      </w:rPr>
    </w:tblStylePr>
    <w:tblStylePr w:type="band1Vert">
      <w:tblPr/>
      <w:tcPr>
        <w:shd w:val="clear" w:color="auto" w:fill="A2FFE9" w:themeFill="accent1" w:themeFillTint="3F"/>
      </w:tcPr>
    </w:tblStylePr>
    <w:tblStylePr w:type="band1Horz">
      <w:tblPr/>
      <w:tcPr>
        <w:tcBorders>
          <w:insideH w:val="nil"/>
          <w:insideV w:val="nil"/>
        </w:tcBorders>
        <w:shd w:val="clear" w:color="auto" w:fill="A2FF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E6ED7"/>
    <w:tblPr>
      <w:tblStyleRowBandSize w:val="1"/>
      <w:tblStyleColBandSize w:val="1"/>
      <w:tbl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single" w:sz="8" w:space="0" w:color="0094AE" w:themeColor="accent2" w:themeTint="BF"/>
      </w:tblBorders>
    </w:tblPr>
    <w:tblStylePr w:type="firstRow">
      <w:pPr>
        <w:spacing w:before="0" w:after="0" w:line="240" w:lineRule="auto"/>
      </w:pPr>
      <w:rPr>
        <w:b/>
        <w:bCs/>
        <w:color w:val="FFFFFF" w:themeColor="background1"/>
      </w:rPr>
      <w:tblPr/>
      <w:tcPr>
        <w:tc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nil"/>
          <w:insideV w:val="nil"/>
        </w:tcBorders>
        <w:shd w:val="clear" w:color="auto" w:fill="00353E" w:themeFill="accent2"/>
      </w:tcPr>
    </w:tblStylePr>
    <w:tblStylePr w:type="lastRow">
      <w:pPr>
        <w:spacing w:before="0" w:after="0" w:line="240" w:lineRule="auto"/>
      </w:pPr>
      <w:rPr>
        <w:b/>
        <w:bCs/>
      </w:rPr>
      <w:tblPr/>
      <w:tcPr>
        <w:tcBorders>
          <w:top w:val="double" w:sz="6"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90EEFF" w:themeFill="accent2" w:themeFillTint="3F"/>
      </w:tcPr>
    </w:tblStylePr>
    <w:tblStylePr w:type="band1Horz">
      <w:tblPr/>
      <w:tcPr>
        <w:tcBorders>
          <w:insideH w:val="nil"/>
          <w:insideV w:val="nil"/>
        </w:tcBorders>
        <w:shd w:val="clear" w:color="auto" w:fill="90E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E6ED7"/>
    <w:tblPr>
      <w:tblStyleRowBandSize w:val="1"/>
      <w:tblStyleColBandSize w:val="1"/>
      <w:tbl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single" w:sz="8" w:space="0" w:color="C1D87D" w:themeColor="accent3" w:themeTint="BF"/>
      </w:tblBorders>
    </w:tblPr>
    <w:tblStylePr w:type="firstRow">
      <w:pPr>
        <w:spacing w:before="0" w:after="0" w:line="240" w:lineRule="auto"/>
      </w:pPr>
      <w:rPr>
        <w:b/>
        <w:bCs/>
        <w:color w:val="FFFFFF" w:themeColor="background1"/>
      </w:rPr>
      <w:tblPr/>
      <w:tcPr>
        <w:tc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nil"/>
          <w:insideV w:val="nil"/>
        </w:tcBorders>
        <w:shd w:val="clear" w:color="auto" w:fill="AECC53" w:themeFill="accent3"/>
      </w:tcPr>
    </w:tblStylePr>
    <w:tblStylePr w:type="lastRow">
      <w:pPr>
        <w:spacing w:before="0" w:after="0" w:line="240" w:lineRule="auto"/>
      </w:pPr>
      <w:rPr>
        <w:b/>
        <w:bCs/>
      </w:rPr>
      <w:tblPr/>
      <w:tcPr>
        <w:tcBorders>
          <w:top w:val="double" w:sz="6"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2D4" w:themeFill="accent3" w:themeFillTint="3F"/>
      </w:tcPr>
    </w:tblStylePr>
    <w:tblStylePr w:type="band1Horz">
      <w:tblPr/>
      <w:tcPr>
        <w:tcBorders>
          <w:insideH w:val="nil"/>
          <w:insideV w:val="nil"/>
        </w:tcBorders>
        <w:shd w:val="clear" w:color="auto" w:fill="EAF2D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E6ED7"/>
    <w:tblPr>
      <w:tblStyleRowBandSize w:val="1"/>
      <w:tblStyleColBandSize w:val="1"/>
      <w:tbl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single" w:sz="8" w:space="0" w:color="F05949" w:themeColor="accent4" w:themeTint="BF"/>
      </w:tblBorders>
    </w:tblPr>
    <w:tblStylePr w:type="firstRow">
      <w:pPr>
        <w:spacing w:before="0" w:after="0" w:line="240" w:lineRule="auto"/>
      </w:pPr>
      <w:rPr>
        <w:b/>
        <w:bCs/>
        <w:color w:val="FFFFFF" w:themeColor="background1"/>
      </w:rPr>
      <w:tblPr/>
      <w:tcPr>
        <w:tc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nil"/>
          <w:insideV w:val="nil"/>
        </w:tcBorders>
        <w:shd w:val="clear" w:color="auto" w:fill="E52713" w:themeFill="accent4"/>
      </w:tcPr>
    </w:tblStylePr>
    <w:tblStylePr w:type="lastRow">
      <w:pPr>
        <w:spacing w:before="0" w:after="0" w:line="240" w:lineRule="auto"/>
      </w:pPr>
      <w:rPr>
        <w:b/>
        <w:bCs/>
      </w:rPr>
      <w:tblPr/>
      <w:tcPr>
        <w:tcBorders>
          <w:top w:val="double" w:sz="6"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C8C2" w:themeFill="accent4" w:themeFillTint="3F"/>
      </w:tcPr>
    </w:tblStylePr>
    <w:tblStylePr w:type="band1Horz">
      <w:tblPr/>
      <w:tcPr>
        <w:tcBorders>
          <w:insideH w:val="nil"/>
          <w:insideV w:val="nil"/>
        </w:tcBorders>
        <w:shd w:val="clear" w:color="auto" w:fill="FAC8C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E6ED7"/>
    <w:tblPr>
      <w:tblStyleRowBandSize w:val="1"/>
      <w:tblStyleColBandSize w:val="1"/>
      <w:tbl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single" w:sz="8" w:space="0" w:color="00F2F4" w:themeColor="accent5" w:themeTint="BF"/>
      </w:tblBorders>
    </w:tblPr>
    <w:tblStylePr w:type="firstRow">
      <w:pPr>
        <w:spacing w:before="0" w:after="0" w:line="240" w:lineRule="auto"/>
      </w:pPr>
      <w:rPr>
        <w:b/>
        <w:bCs/>
        <w:color w:val="FFFFFF" w:themeColor="background1"/>
      </w:rPr>
      <w:tblPr/>
      <w:tcPr>
        <w:tc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nil"/>
          <w:insideV w:val="nil"/>
        </w:tcBorders>
        <w:shd w:val="clear" w:color="auto" w:fill="009A9B" w:themeFill="accent5"/>
      </w:tcPr>
    </w:tblStylePr>
    <w:tblStylePr w:type="lastRow">
      <w:pPr>
        <w:spacing w:before="0" w:after="0" w:line="240" w:lineRule="auto"/>
      </w:pPr>
      <w:rPr>
        <w:b/>
        <w:bCs/>
      </w:rPr>
      <w:tblPr/>
      <w:tcPr>
        <w:tcBorders>
          <w:top w:val="double" w:sz="6"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A7FEFF" w:themeFill="accent5" w:themeFillTint="3F"/>
      </w:tcPr>
    </w:tblStylePr>
    <w:tblStylePr w:type="band1Horz">
      <w:tblPr/>
      <w:tcPr>
        <w:tcBorders>
          <w:insideH w:val="nil"/>
          <w:insideV w:val="nil"/>
        </w:tcBorders>
        <w:shd w:val="clear" w:color="auto" w:fill="A7FE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E6ED7"/>
    <w:tblPr>
      <w:tblStyleRowBandSize w:val="1"/>
      <w:tblStyleColBandSize w:val="1"/>
      <w:tbl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single" w:sz="8" w:space="0" w:color="FFDA40" w:themeColor="accent6" w:themeTint="BF"/>
      </w:tblBorders>
    </w:tblPr>
    <w:tblStylePr w:type="firstRow">
      <w:pPr>
        <w:spacing w:before="0" w:after="0" w:line="240" w:lineRule="auto"/>
      </w:pPr>
      <w:rPr>
        <w:b/>
        <w:bCs/>
        <w:color w:val="FFFFFF" w:themeColor="background1"/>
      </w:rPr>
      <w:tblPr/>
      <w:tcPr>
        <w:tc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nil"/>
          <w:insideV w:val="nil"/>
        </w:tcBorders>
        <w:shd w:val="clear" w:color="auto" w:fill="FFCE00" w:themeFill="accent6"/>
      </w:tcPr>
    </w:tblStylePr>
    <w:tblStylePr w:type="lastRow">
      <w:pPr>
        <w:spacing w:before="0" w:after="0" w:line="240" w:lineRule="auto"/>
      </w:pPr>
      <w:rPr>
        <w:b/>
        <w:bCs/>
      </w:rPr>
      <w:tblPr/>
      <w:tcPr>
        <w:tcBorders>
          <w:top w:val="double" w:sz="6"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2C0" w:themeFill="accent6" w:themeFillTint="3F"/>
      </w:tcPr>
    </w:tblStylePr>
    <w:tblStylePr w:type="band1Horz">
      <w:tblPr/>
      <w:tcPr>
        <w:tcBorders>
          <w:insideH w:val="nil"/>
          <w:insideV w:val="nil"/>
        </w:tcBorders>
        <w:shd w:val="clear" w:color="auto" w:fill="FFF2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7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768" w:themeFill="accent1"/>
      </w:tcPr>
    </w:tblStylePr>
    <w:tblStylePr w:type="lastCol">
      <w:rPr>
        <w:b/>
        <w:bCs/>
        <w:color w:val="FFFFFF" w:themeColor="background1"/>
      </w:rPr>
      <w:tblPr/>
      <w:tcPr>
        <w:tcBorders>
          <w:left w:val="nil"/>
          <w:right w:val="nil"/>
          <w:insideH w:val="nil"/>
          <w:insideV w:val="nil"/>
        </w:tcBorders>
        <w:shd w:val="clear" w:color="auto" w:fill="0087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53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53E" w:themeFill="accent2"/>
      </w:tcPr>
    </w:tblStylePr>
    <w:tblStylePr w:type="lastCol">
      <w:rPr>
        <w:b/>
        <w:bCs/>
        <w:color w:val="FFFFFF" w:themeColor="background1"/>
      </w:rPr>
      <w:tblPr/>
      <w:tcPr>
        <w:tcBorders>
          <w:left w:val="nil"/>
          <w:right w:val="nil"/>
          <w:insideH w:val="nil"/>
          <w:insideV w:val="nil"/>
        </w:tcBorders>
        <w:shd w:val="clear" w:color="auto" w:fill="00353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CC5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CC53" w:themeFill="accent3"/>
      </w:tcPr>
    </w:tblStylePr>
    <w:tblStylePr w:type="lastCol">
      <w:rPr>
        <w:b/>
        <w:bCs/>
        <w:color w:val="FFFFFF" w:themeColor="background1"/>
      </w:rPr>
      <w:tblPr/>
      <w:tcPr>
        <w:tcBorders>
          <w:left w:val="nil"/>
          <w:right w:val="nil"/>
          <w:insideH w:val="nil"/>
          <w:insideV w:val="nil"/>
        </w:tcBorders>
        <w:shd w:val="clear" w:color="auto" w:fill="AECC5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271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2713" w:themeFill="accent4"/>
      </w:tcPr>
    </w:tblStylePr>
    <w:tblStylePr w:type="lastCol">
      <w:rPr>
        <w:b/>
        <w:bCs/>
        <w:color w:val="FFFFFF" w:themeColor="background1"/>
      </w:rPr>
      <w:tblPr/>
      <w:tcPr>
        <w:tcBorders>
          <w:left w:val="nil"/>
          <w:right w:val="nil"/>
          <w:insideH w:val="nil"/>
          <w:insideV w:val="nil"/>
        </w:tcBorders>
        <w:shd w:val="clear" w:color="auto" w:fill="E5271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A9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A9B" w:themeFill="accent5"/>
      </w:tcPr>
    </w:tblStylePr>
    <w:tblStylePr w:type="lastCol">
      <w:rPr>
        <w:b/>
        <w:bCs/>
        <w:color w:val="FFFFFF" w:themeColor="background1"/>
      </w:rPr>
      <w:tblPr/>
      <w:tcPr>
        <w:tcBorders>
          <w:left w:val="nil"/>
          <w:right w:val="nil"/>
          <w:insideH w:val="nil"/>
          <w:insideV w:val="nil"/>
        </w:tcBorders>
        <w:shd w:val="clear" w:color="auto" w:fill="009A9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E6ED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E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E00" w:themeFill="accent6"/>
      </w:tcPr>
    </w:tblStylePr>
    <w:tblStylePr w:type="lastCol">
      <w:rPr>
        <w:b/>
        <w:bCs/>
        <w:color w:val="FFFFFF" w:themeColor="background1"/>
      </w:rPr>
      <w:tblPr/>
      <w:tcPr>
        <w:tcBorders>
          <w:left w:val="nil"/>
          <w:right w:val="nil"/>
          <w:insideH w:val="nil"/>
          <w:insideV w:val="nil"/>
        </w:tcBorders>
        <w:shd w:val="clear" w:color="auto" w:fill="FFCE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E6ED7"/>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6ED7"/>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6ED7"/>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6ED7"/>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6ED7"/>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6ED7"/>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9E6ED7"/>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9E6ED7"/>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9E6ED7"/>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6ED7"/>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6ED7"/>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6ED7"/>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6ED7"/>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6ED7"/>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6ED7"/>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6ED7"/>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6ED7"/>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6ED7"/>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6ED7"/>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6ED7"/>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6ED7"/>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E6ED7"/>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6ED7"/>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6ED7"/>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6ED7"/>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6ED7"/>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E6ED7"/>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6ED7"/>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6ED7"/>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6ED7"/>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6ED7"/>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6ED7"/>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6ED7"/>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6ED7"/>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6ED7"/>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6ED7"/>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7F6341"/>
    <w:pPr>
      <w:tabs>
        <w:tab w:val="center" w:pos="4513"/>
        <w:tab w:val="right" w:pos="9026"/>
      </w:tabs>
      <w:spacing w:line="240" w:lineRule="auto"/>
    </w:pPr>
    <w:rPr>
      <w:noProof/>
      <w:sz w:val="14"/>
    </w:rPr>
  </w:style>
  <w:style w:type="character" w:customStyle="1" w:styleId="HeaderChar">
    <w:name w:val="Header Char"/>
    <w:basedOn w:val="DefaultParagraphFont"/>
    <w:link w:val="Header"/>
    <w:uiPriority w:val="99"/>
    <w:rsid w:val="00F66A91"/>
    <w:rPr>
      <w:noProof/>
      <w:kern w:val="18"/>
      <w:sz w:val="14"/>
    </w:rPr>
  </w:style>
  <w:style w:type="paragraph" w:styleId="Footer">
    <w:name w:val="footer"/>
    <w:basedOn w:val="Normal"/>
    <w:link w:val="FooterChar"/>
    <w:uiPriority w:val="99"/>
    <w:unhideWhenUsed/>
    <w:rsid w:val="007F6341"/>
    <w:pPr>
      <w:tabs>
        <w:tab w:val="center" w:pos="4513"/>
        <w:tab w:val="right" w:pos="9026"/>
      </w:tabs>
      <w:spacing w:line="240" w:lineRule="auto"/>
    </w:pPr>
    <w:rPr>
      <w:noProof/>
      <w:sz w:val="14"/>
    </w:rPr>
  </w:style>
  <w:style w:type="character" w:customStyle="1" w:styleId="FooterChar">
    <w:name w:val="Footer Char"/>
    <w:basedOn w:val="DefaultParagraphFont"/>
    <w:link w:val="Footer"/>
    <w:uiPriority w:val="99"/>
    <w:rsid w:val="00F66A91"/>
    <w:rPr>
      <w:noProof/>
      <w:kern w:val="18"/>
      <w:sz w:val="14"/>
    </w:rPr>
  </w:style>
  <w:style w:type="numbering" w:customStyle="1" w:styleId="AECOMNumbering">
    <w:name w:val="AECOM Numbering"/>
    <w:basedOn w:val="NoList"/>
    <w:uiPriority w:val="99"/>
    <w:semiHidden/>
    <w:unhideWhenUsed/>
    <w:rsid w:val="00FF093C"/>
    <w:pPr>
      <w:numPr>
        <w:numId w:val="7"/>
      </w:numPr>
    </w:pPr>
  </w:style>
  <w:style w:type="numbering" w:customStyle="1" w:styleId="AECOMAppendix">
    <w:name w:val="AECOM Appendix"/>
    <w:uiPriority w:val="99"/>
    <w:semiHidden/>
    <w:unhideWhenUsed/>
    <w:rsid w:val="006A3705"/>
    <w:pPr>
      <w:numPr>
        <w:numId w:val="8"/>
      </w:numPr>
    </w:pPr>
  </w:style>
  <w:style w:type="character" w:customStyle="1" w:styleId="Heading6Char">
    <w:name w:val="Heading 6 Char"/>
    <w:basedOn w:val="DefaultParagraphFont"/>
    <w:link w:val="Heading6"/>
    <w:uiPriority w:val="9"/>
    <w:rsid w:val="00F66A91"/>
    <w:rPr>
      <w:rFonts w:asciiTheme="majorHAnsi" w:eastAsiaTheme="majorEastAsia" w:hAnsiTheme="majorHAnsi" w:cstheme="majorBidi"/>
      <w:i/>
      <w:iCs/>
      <w:color w:val="004333" w:themeColor="accent1" w:themeShade="7F"/>
      <w:kern w:val="18"/>
    </w:rPr>
  </w:style>
  <w:style w:type="character" w:customStyle="1" w:styleId="Heading7Char">
    <w:name w:val="Heading 7 Char"/>
    <w:basedOn w:val="DefaultParagraphFont"/>
    <w:link w:val="Heading7"/>
    <w:uiPriority w:val="9"/>
    <w:rsid w:val="00F66A91"/>
    <w:rPr>
      <w:rFonts w:asciiTheme="majorHAnsi" w:eastAsiaTheme="majorEastAsia" w:hAnsiTheme="majorHAnsi" w:cstheme="majorBidi"/>
      <w:i/>
      <w:iCs/>
      <w:color w:val="404040" w:themeColor="text1" w:themeTint="BF"/>
      <w:kern w:val="18"/>
    </w:rPr>
  </w:style>
  <w:style w:type="character" w:customStyle="1" w:styleId="Heading8Char">
    <w:name w:val="Heading 8 Char"/>
    <w:basedOn w:val="DefaultParagraphFont"/>
    <w:link w:val="Heading8"/>
    <w:uiPriority w:val="9"/>
    <w:rsid w:val="00F66A91"/>
    <w:rPr>
      <w:rFonts w:asciiTheme="majorHAnsi" w:eastAsiaTheme="majorEastAsia" w:hAnsiTheme="majorHAnsi" w:cstheme="majorBidi"/>
      <w:color w:val="404040" w:themeColor="text1" w:themeTint="BF"/>
      <w:kern w:val="18"/>
      <w:sz w:val="20"/>
      <w:szCs w:val="20"/>
    </w:rPr>
  </w:style>
  <w:style w:type="character" w:customStyle="1" w:styleId="Heading9Char">
    <w:name w:val="Heading 9 Char"/>
    <w:basedOn w:val="DefaultParagraphFont"/>
    <w:link w:val="Heading9"/>
    <w:uiPriority w:val="9"/>
    <w:rsid w:val="00F66A91"/>
    <w:rPr>
      <w:rFonts w:asciiTheme="majorHAnsi" w:eastAsiaTheme="majorEastAsia" w:hAnsiTheme="majorHAnsi" w:cstheme="majorBidi"/>
      <w:i/>
      <w:iCs/>
      <w:color w:val="404040" w:themeColor="text1" w:themeTint="BF"/>
      <w:kern w:val="18"/>
      <w:sz w:val="20"/>
      <w:szCs w:val="20"/>
    </w:rPr>
  </w:style>
  <w:style w:type="table" w:customStyle="1" w:styleId="Plaingrid">
    <w:name w:val="Plain grid"/>
    <w:basedOn w:val="TableNormal"/>
    <w:uiPriority w:val="99"/>
    <w:semiHidden/>
    <w:unhideWhenUsed/>
    <w:rsid w:val="00E772F5"/>
    <w:tblPr>
      <w:tblCellMar>
        <w:left w:w="0" w:type="dxa"/>
      </w:tblCellMar>
    </w:tblPr>
  </w:style>
  <w:style w:type="paragraph" w:styleId="Title">
    <w:name w:val="Title"/>
    <w:basedOn w:val="Normal"/>
    <w:next w:val="Normal"/>
    <w:link w:val="TitleChar"/>
    <w:uiPriority w:val="10"/>
    <w:unhideWhenUsed/>
    <w:rsid w:val="00AA75D4"/>
    <w:pPr>
      <w:spacing w:after="300" w:line="240" w:lineRule="auto"/>
      <w:contextualSpacing/>
    </w:pPr>
    <w:rPr>
      <w:rFonts w:asciiTheme="majorHAnsi" w:eastAsiaTheme="majorEastAsia" w:hAnsiTheme="majorHAnsi" w:cstheme="majorBidi"/>
      <w:color w:val="FFFFFF" w:themeColor="background1"/>
      <w:kern w:val="28"/>
      <w:sz w:val="48"/>
      <w:szCs w:val="52"/>
    </w:rPr>
  </w:style>
  <w:style w:type="character" w:customStyle="1" w:styleId="TitleChar">
    <w:name w:val="Title Char"/>
    <w:basedOn w:val="DefaultParagraphFont"/>
    <w:link w:val="Title"/>
    <w:uiPriority w:val="10"/>
    <w:rsid w:val="00F66A91"/>
    <w:rPr>
      <w:rFonts w:asciiTheme="majorHAnsi" w:eastAsiaTheme="majorEastAsia" w:hAnsiTheme="majorHAnsi" w:cstheme="majorBidi"/>
      <w:color w:val="FFFFFF" w:themeColor="background1"/>
      <w:kern w:val="28"/>
      <w:sz w:val="48"/>
      <w:szCs w:val="52"/>
    </w:rPr>
  </w:style>
  <w:style w:type="paragraph" w:styleId="TOCHeading">
    <w:name w:val="TOC Heading"/>
    <w:basedOn w:val="Heading1"/>
    <w:next w:val="Normal"/>
    <w:uiPriority w:val="39"/>
    <w:unhideWhenUsed/>
    <w:qFormat/>
    <w:rsid w:val="000D13AF"/>
    <w:pPr>
      <w:numPr>
        <w:numId w:val="0"/>
      </w:numPr>
      <w:spacing w:line="240" w:lineRule="atLeast"/>
      <w:outlineLvl w:val="9"/>
    </w:pPr>
    <w:rPr>
      <w:sz w:val="28"/>
    </w:rPr>
  </w:style>
  <w:style w:type="paragraph" w:styleId="Subtitle">
    <w:name w:val="Subtitle"/>
    <w:basedOn w:val="Normal"/>
    <w:next w:val="Normal"/>
    <w:link w:val="SubtitleChar"/>
    <w:uiPriority w:val="11"/>
    <w:unhideWhenUsed/>
    <w:rsid w:val="00AA75D4"/>
    <w:pPr>
      <w:numPr>
        <w:ilvl w:val="1"/>
      </w:numPr>
    </w:pPr>
    <w:rPr>
      <w:rFonts w:asciiTheme="majorHAnsi" w:eastAsiaTheme="majorEastAsia" w:hAnsiTheme="majorHAnsi" w:cstheme="majorBidi"/>
      <w:iCs/>
      <w:color w:val="FFFFFF" w:themeColor="background1"/>
      <w:szCs w:val="24"/>
    </w:rPr>
  </w:style>
  <w:style w:type="character" w:customStyle="1" w:styleId="SubtitleChar">
    <w:name w:val="Subtitle Char"/>
    <w:basedOn w:val="DefaultParagraphFont"/>
    <w:link w:val="Subtitle"/>
    <w:uiPriority w:val="11"/>
    <w:rsid w:val="00F66A91"/>
    <w:rPr>
      <w:rFonts w:asciiTheme="majorHAnsi" w:eastAsiaTheme="majorEastAsia" w:hAnsiTheme="majorHAnsi" w:cstheme="majorBidi"/>
      <w:iCs/>
      <w:color w:val="FFFFFF" w:themeColor="background1"/>
      <w:kern w:val="18"/>
      <w:sz w:val="24"/>
      <w:szCs w:val="24"/>
    </w:rPr>
  </w:style>
  <w:style w:type="paragraph" w:styleId="TOC1">
    <w:name w:val="toc 1"/>
    <w:basedOn w:val="Normal"/>
    <w:next w:val="Normal"/>
    <w:autoRedefine/>
    <w:uiPriority w:val="39"/>
    <w:unhideWhenUsed/>
    <w:rsid w:val="00514B9E"/>
    <w:pPr>
      <w:tabs>
        <w:tab w:val="clear" w:pos="284"/>
        <w:tab w:val="left" w:pos="142"/>
        <w:tab w:val="right" w:leader="dot" w:pos="9365"/>
      </w:tabs>
      <w:spacing w:after="40"/>
      <w:ind w:left="-406" w:right="-472"/>
    </w:pPr>
    <w:rPr>
      <w:rFonts w:asciiTheme="majorHAnsi" w:hAnsiTheme="majorHAnsi"/>
    </w:rPr>
  </w:style>
  <w:style w:type="paragraph" w:styleId="TOC2">
    <w:name w:val="toc 2"/>
    <w:basedOn w:val="Normal"/>
    <w:next w:val="Normal"/>
    <w:autoRedefine/>
    <w:uiPriority w:val="39"/>
    <w:unhideWhenUsed/>
    <w:rsid w:val="003964F2"/>
    <w:pPr>
      <w:tabs>
        <w:tab w:val="clear" w:pos="284"/>
        <w:tab w:val="right" w:leader="dot" w:pos="9026"/>
      </w:tabs>
      <w:spacing w:after="40"/>
      <w:ind w:right="522"/>
    </w:pPr>
  </w:style>
  <w:style w:type="paragraph" w:styleId="TOC3">
    <w:name w:val="toc 3"/>
    <w:basedOn w:val="Normal"/>
    <w:next w:val="Normal"/>
    <w:autoRedefine/>
    <w:uiPriority w:val="39"/>
    <w:unhideWhenUsed/>
    <w:rsid w:val="003964F2"/>
    <w:pPr>
      <w:tabs>
        <w:tab w:val="clear" w:pos="284"/>
        <w:tab w:val="right" w:leader="dot" w:pos="9026"/>
      </w:tabs>
      <w:spacing w:after="40"/>
    </w:pPr>
  </w:style>
  <w:style w:type="paragraph" w:customStyle="1" w:styleId="Coverdata">
    <w:name w:val="Cover data"/>
    <w:basedOn w:val="Subtitle"/>
    <w:uiPriority w:val="1"/>
    <w:semiHidden/>
    <w:unhideWhenUsed/>
    <w:rsid w:val="00DA79BC"/>
    <w:pPr>
      <w:jc w:val="right"/>
    </w:pPr>
    <w:rPr>
      <w:sz w:val="16"/>
    </w:rPr>
  </w:style>
  <w:style w:type="paragraph" w:customStyle="1" w:styleId="Coverfooter">
    <w:name w:val="Cover footer"/>
    <w:basedOn w:val="Coverdata"/>
    <w:uiPriority w:val="1"/>
    <w:unhideWhenUsed/>
    <w:rsid w:val="00B97816"/>
    <w:pPr>
      <w:spacing w:line="200" w:lineRule="atLeast"/>
      <w:jc w:val="left"/>
    </w:pPr>
    <w:rPr>
      <w:rFonts w:asciiTheme="minorHAnsi" w:hAnsiTheme="minorHAnsi"/>
    </w:rPr>
  </w:style>
  <w:style w:type="paragraph" w:customStyle="1" w:styleId="Subtitleheading">
    <w:name w:val="Subtitle heading"/>
    <w:basedOn w:val="Subtitle"/>
    <w:uiPriority w:val="1"/>
    <w:unhideWhenUsed/>
    <w:rsid w:val="00AA75D4"/>
  </w:style>
  <w:style w:type="character" w:styleId="Strong">
    <w:name w:val="Strong"/>
    <w:basedOn w:val="DefaultParagraphFont"/>
    <w:uiPriority w:val="22"/>
    <w:unhideWhenUsed/>
    <w:rsid w:val="00542F08"/>
    <w:rPr>
      <w:b/>
      <w:bCs/>
    </w:rPr>
  </w:style>
  <w:style w:type="paragraph" w:styleId="CommentText">
    <w:name w:val="annotation text"/>
    <w:basedOn w:val="Normal"/>
    <w:link w:val="CommentTextChar"/>
    <w:uiPriority w:val="99"/>
    <w:unhideWhenUsed/>
    <w:rsid w:val="00542F08"/>
    <w:pPr>
      <w:spacing w:line="240" w:lineRule="auto"/>
    </w:pPr>
    <w:rPr>
      <w:sz w:val="20"/>
      <w:szCs w:val="20"/>
    </w:rPr>
  </w:style>
  <w:style w:type="character" w:customStyle="1" w:styleId="CommentTextChar">
    <w:name w:val="Comment Text Char"/>
    <w:basedOn w:val="DefaultParagraphFont"/>
    <w:link w:val="CommentText"/>
    <w:uiPriority w:val="99"/>
    <w:rsid w:val="00F66A91"/>
    <w:rPr>
      <w:kern w:val="18"/>
      <w:sz w:val="20"/>
      <w:szCs w:val="20"/>
    </w:rPr>
  </w:style>
  <w:style w:type="paragraph" w:styleId="CommentSubject">
    <w:name w:val="annotation subject"/>
    <w:basedOn w:val="CommentText"/>
    <w:next w:val="CommentText"/>
    <w:link w:val="CommentSubjectChar"/>
    <w:uiPriority w:val="99"/>
    <w:semiHidden/>
    <w:unhideWhenUsed/>
    <w:rsid w:val="00542F08"/>
    <w:rPr>
      <w:b/>
      <w:bCs/>
    </w:rPr>
  </w:style>
  <w:style w:type="character" w:customStyle="1" w:styleId="CommentSubjectChar">
    <w:name w:val="Comment Subject Char"/>
    <w:basedOn w:val="CommentTextChar"/>
    <w:link w:val="CommentSubject"/>
    <w:uiPriority w:val="99"/>
    <w:semiHidden/>
    <w:rsid w:val="00F66A91"/>
    <w:rPr>
      <w:b/>
      <w:bCs/>
      <w:kern w:val="18"/>
      <w:sz w:val="20"/>
      <w:szCs w:val="20"/>
    </w:rPr>
  </w:style>
  <w:style w:type="paragraph" w:customStyle="1" w:styleId="Heading">
    <w:name w:val="Heading"/>
    <w:basedOn w:val="BodyText"/>
    <w:next w:val="BodyText"/>
    <w:uiPriority w:val="1"/>
    <w:unhideWhenUsed/>
    <w:rsid w:val="008952D6"/>
    <w:pPr>
      <w:spacing w:after="120"/>
    </w:pPr>
    <w:rPr>
      <w:rFonts w:asciiTheme="majorHAnsi" w:hAnsiTheme="majorHAnsi" w:cstheme="majorHAnsi"/>
      <w:color w:val="000000" w:themeColor="text2"/>
    </w:rPr>
  </w:style>
  <w:style w:type="paragraph" w:styleId="TableofFigures">
    <w:name w:val="table of figures"/>
    <w:basedOn w:val="Normal"/>
    <w:next w:val="Normal"/>
    <w:uiPriority w:val="99"/>
    <w:unhideWhenUsed/>
    <w:rsid w:val="00A34EE8"/>
    <w:pPr>
      <w:tabs>
        <w:tab w:val="clear" w:pos="284"/>
        <w:tab w:val="right" w:leader="dot" w:pos="9026"/>
      </w:tabs>
    </w:pPr>
  </w:style>
  <w:style w:type="numbering" w:customStyle="1" w:styleId="AECOMSectionnumbering">
    <w:name w:val="AECOM Section numbering"/>
    <w:uiPriority w:val="99"/>
    <w:semiHidden/>
    <w:unhideWhenUsed/>
    <w:rsid w:val="0055609F"/>
    <w:pPr>
      <w:numPr>
        <w:numId w:val="10"/>
      </w:numPr>
    </w:pPr>
  </w:style>
  <w:style w:type="paragraph" w:styleId="BalloonText">
    <w:name w:val="Balloon Text"/>
    <w:basedOn w:val="Normal"/>
    <w:link w:val="BalloonTextChar"/>
    <w:uiPriority w:val="99"/>
    <w:semiHidden/>
    <w:unhideWhenUsed/>
    <w:rsid w:val="00F97F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91"/>
    <w:rPr>
      <w:rFonts w:ascii="Tahoma" w:hAnsi="Tahoma" w:cs="Tahoma"/>
      <w:kern w:val="18"/>
      <w:sz w:val="16"/>
      <w:szCs w:val="16"/>
    </w:rPr>
  </w:style>
  <w:style w:type="paragraph" w:styleId="Quote">
    <w:name w:val="Quote"/>
    <w:basedOn w:val="Normal"/>
    <w:next w:val="Normal"/>
    <w:link w:val="QuoteChar"/>
    <w:uiPriority w:val="21"/>
    <w:qFormat/>
    <w:rsid w:val="00854622"/>
    <w:pPr>
      <w:spacing w:after="120"/>
      <w:ind w:left="851" w:right="567"/>
    </w:pPr>
    <w:rPr>
      <w:i/>
      <w:iCs/>
      <w:color w:val="000000" w:themeColor="text1"/>
    </w:rPr>
  </w:style>
  <w:style w:type="character" w:customStyle="1" w:styleId="QuoteChar">
    <w:name w:val="Quote Char"/>
    <w:basedOn w:val="DefaultParagraphFont"/>
    <w:link w:val="Quote"/>
    <w:uiPriority w:val="21"/>
    <w:rsid w:val="00F66A91"/>
    <w:rPr>
      <w:i/>
      <w:iCs/>
      <w:color w:val="000000" w:themeColor="text1"/>
      <w:kern w:val="18"/>
    </w:rPr>
  </w:style>
  <w:style w:type="numbering" w:styleId="111111">
    <w:name w:val="Outline List 2"/>
    <w:basedOn w:val="NoList"/>
    <w:uiPriority w:val="99"/>
    <w:semiHidden/>
    <w:unhideWhenUsed/>
    <w:rsid w:val="004C255D"/>
    <w:pPr>
      <w:numPr>
        <w:numId w:val="36"/>
      </w:numPr>
    </w:pPr>
  </w:style>
  <w:style w:type="numbering" w:styleId="1ai">
    <w:name w:val="Outline List 1"/>
    <w:basedOn w:val="NoList"/>
    <w:uiPriority w:val="99"/>
    <w:semiHidden/>
    <w:unhideWhenUsed/>
    <w:rsid w:val="004C255D"/>
    <w:pPr>
      <w:numPr>
        <w:numId w:val="13"/>
      </w:numPr>
    </w:pPr>
  </w:style>
  <w:style w:type="numbering" w:styleId="ArticleSection">
    <w:name w:val="Outline List 3"/>
    <w:basedOn w:val="NoList"/>
    <w:uiPriority w:val="99"/>
    <w:semiHidden/>
    <w:unhideWhenUsed/>
    <w:rsid w:val="004C255D"/>
    <w:pPr>
      <w:numPr>
        <w:numId w:val="38"/>
      </w:numPr>
    </w:pPr>
  </w:style>
  <w:style w:type="paragraph" w:styleId="Bibliography">
    <w:name w:val="Bibliography"/>
    <w:basedOn w:val="Normal"/>
    <w:next w:val="Normal"/>
    <w:uiPriority w:val="37"/>
    <w:semiHidden/>
    <w:unhideWhenUsed/>
    <w:rsid w:val="004C255D"/>
  </w:style>
  <w:style w:type="paragraph" w:styleId="BlockText">
    <w:name w:val="Block Text"/>
    <w:basedOn w:val="Normal"/>
    <w:uiPriority w:val="99"/>
    <w:semiHidden/>
    <w:unhideWhenUsed/>
    <w:rsid w:val="004C255D"/>
    <w:pPr>
      <w:pBdr>
        <w:top w:val="single" w:sz="2" w:space="10" w:color="008768" w:themeColor="accent1" w:shadow="1" w:frame="1"/>
        <w:left w:val="single" w:sz="2" w:space="10" w:color="008768" w:themeColor="accent1" w:shadow="1" w:frame="1"/>
        <w:bottom w:val="single" w:sz="2" w:space="10" w:color="008768" w:themeColor="accent1" w:shadow="1" w:frame="1"/>
        <w:right w:val="single" w:sz="2" w:space="10" w:color="008768" w:themeColor="accent1" w:shadow="1" w:frame="1"/>
      </w:pBdr>
      <w:ind w:left="1152" w:right="1152"/>
    </w:pPr>
    <w:rPr>
      <w:rFonts w:eastAsiaTheme="minorEastAsia"/>
      <w:i/>
      <w:iCs/>
      <w:color w:val="008768" w:themeColor="accent1"/>
    </w:rPr>
  </w:style>
  <w:style w:type="paragraph" w:styleId="BodyText2">
    <w:name w:val="Body Text 2"/>
    <w:basedOn w:val="Normal"/>
    <w:link w:val="BodyText2Char"/>
    <w:uiPriority w:val="99"/>
    <w:semiHidden/>
    <w:unhideWhenUsed/>
    <w:rsid w:val="004C255D"/>
    <w:pPr>
      <w:spacing w:after="120" w:line="480" w:lineRule="auto"/>
    </w:pPr>
  </w:style>
  <w:style w:type="character" w:customStyle="1" w:styleId="BodyText2Char">
    <w:name w:val="Body Text 2 Char"/>
    <w:basedOn w:val="DefaultParagraphFont"/>
    <w:link w:val="BodyText2"/>
    <w:uiPriority w:val="99"/>
    <w:semiHidden/>
    <w:rsid w:val="00F66A91"/>
    <w:rPr>
      <w:kern w:val="18"/>
    </w:rPr>
  </w:style>
  <w:style w:type="paragraph" w:styleId="BodyText3">
    <w:name w:val="Body Text 3"/>
    <w:basedOn w:val="Normal"/>
    <w:link w:val="BodyText3Char"/>
    <w:uiPriority w:val="99"/>
    <w:semiHidden/>
    <w:unhideWhenUsed/>
    <w:rsid w:val="004C255D"/>
    <w:pPr>
      <w:spacing w:after="120"/>
    </w:pPr>
    <w:rPr>
      <w:sz w:val="16"/>
      <w:szCs w:val="16"/>
    </w:rPr>
  </w:style>
  <w:style w:type="character" w:customStyle="1" w:styleId="BodyText3Char">
    <w:name w:val="Body Text 3 Char"/>
    <w:basedOn w:val="DefaultParagraphFont"/>
    <w:link w:val="BodyText3"/>
    <w:uiPriority w:val="99"/>
    <w:semiHidden/>
    <w:rsid w:val="00F66A91"/>
    <w:rPr>
      <w:kern w:val="18"/>
      <w:sz w:val="16"/>
      <w:szCs w:val="16"/>
    </w:rPr>
  </w:style>
  <w:style w:type="paragraph" w:styleId="BodyTextFirstIndent">
    <w:name w:val="Body Text First Indent"/>
    <w:basedOn w:val="BodyText"/>
    <w:link w:val="BodyTextFirstIndentChar"/>
    <w:uiPriority w:val="99"/>
    <w:semiHidden/>
    <w:unhideWhenUsed/>
    <w:rsid w:val="004C255D"/>
    <w:pPr>
      <w:spacing w:after="0"/>
      <w:ind w:firstLine="360"/>
    </w:pPr>
  </w:style>
  <w:style w:type="character" w:customStyle="1" w:styleId="BodyTextFirstIndentChar">
    <w:name w:val="Body Text First Indent Char"/>
    <w:basedOn w:val="BodyTextChar"/>
    <w:link w:val="BodyTextFirstIndent"/>
    <w:uiPriority w:val="99"/>
    <w:semiHidden/>
    <w:rsid w:val="00F66A91"/>
    <w:rPr>
      <w:kern w:val="18"/>
      <w:sz w:val="24"/>
    </w:rPr>
  </w:style>
  <w:style w:type="paragraph" w:styleId="BodyTextIndent">
    <w:name w:val="Body Text Indent"/>
    <w:basedOn w:val="Normal"/>
    <w:link w:val="BodyTextIndentChar"/>
    <w:uiPriority w:val="99"/>
    <w:semiHidden/>
    <w:unhideWhenUsed/>
    <w:rsid w:val="004C255D"/>
    <w:pPr>
      <w:spacing w:after="120"/>
      <w:ind w:left="283"/>
    </w:pPr>
  </w:style>
  <w:style w:type="character" w:customStyle="1" w:styleId="BodyTextIndentChar">
    <w:name w:val="Body Text Indent Char"/>
    <w:basedOn w:val="DefaultParagraphFont"/>
    <w:link w:val="BodyTextIndent"/>
    <w:uiPriority w:val="99"/>
    <w:semiHidden/>
    <w:rsid w:val="00F66A91"/>
    <w:rPr>
      <w:kern w:val="18"/>
    </w:rPr>
  </w:style>
  <w:style w:type="paragraph" w:styleId="BodyTextFirstIndent2">
    <w:name w:val="Body Text First Indent 2"/>
    <w:basedOn w:val="BodyTextIndent"/>
    <w:link w:val="BodyTextFirstIndent2Char"/>
    <w:uiPriority w:val="99"/>
    <w:semiHidden/>
    <w:unhideWhenUsed/>
    <w:rsid w:val="004C25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6A91"/>
    <w:rPr>
      <w:kern w:val="18"/>
    </w:rPr>
  </w:style>
  <w:style w:type="paragraph" w:styleId="BodyTextIndent2">
    <w:name w:val="Body Text Indent 2"/>
    <w:basedOn w:val="Normal"/>
    <w:link w:val="BodyTextIndent2Char"/>
    <w:uiPriority w:val="99"/>
    <w:semiHidden/>
    <w:unhideWhenUsed/>
    <w:rsid w:val="004C255D"/>
    <w:pPr>
      <w:spacing w:after="120" w:line="480" w:lineRule="auto"/>
      <w:ind w:left="283"/>
    </w:pPr>
  </w:style>
  <w:style w:type="character" w:customStyle="1" w:styleId="BodyTextIndent2Char">
    <w:name w:val="Body Text Indent 2 Char"/>
    <w:basedOn w:val="DefaultParagraphFont"/>
    <w:link w:val="BodyTextIndent2"/>
    <w:uiPriority w:val="99"/>
    <w:semiHidden/>
    <w:rsid w:val="00F66A91"/>
    <w:rPr>
      <w:kern w:val="18"/>
    </w:rPr>
  </w:style>
  <w:style w:type="paragraph" w:styleId="BodyTextIndent3">
    <w:name w:val="Body Text Indent 3"/>
    <w:basedOn w:val="Normal"/>
    <w:link w:val="BodyTextIndent3Char"/>
    <w:uiPriority w:val="99"/>
    <w:semiHidden/>
    <w:unhideWhenUsed/>
    <w:rsid w:val="004C25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66A91"/>
    <w:rPr>
      <w:kern w:val="18"/>
      <w:sz w:val="16"/>
      <w:szCs w:val="16"/>
    </w:rPr>
  </w:style>
  <w:style w:type="character" w:styleId="BookTitle">
    <w:name w:val="Book Title"/>
    <w:basedOn w:val="DefaultParagraphFont"/>
    <w:uiPriority w:val="33"/>
    <w:unhideWhenUsed/>
    <w:rsid w:val="004C255D"/>
    <w:rPr>
      <w:b/>
      <w:bCs/>
      <w:smallCaps/>
      <w:spacing w:val="5"/>
    </w:rPr>
  </w:style>
  <w:style w:type="paragraph" w:styleId="Closing">
    <w:name w:val="Closing"/>
    <w:basedOn w:val="Normal"/>
    <w:link w:val="ClosingChar"/>
    <w:uiPriority w:val="99"/>
    <w:semiHidden/>
    <w:unhideWhenUsed/>
    <w:rsid w:val="004C255D"/>
    <w:pPr>
      <w:spacing w:line="240" w:lineRule="auto"/>
      <w:ind w:left="4252"/>
    </w:pPr>
  </w:style>
  <w:style w:type="character" w:customStyle="1" w:styleId="ClosingChar">
    <w:name w:val="Closing Char"/>
    <w:basedOn w:val="DefaultParagraphFont"/>
    <w:link w:val="Closing"/>
    <w:uiPriority w:val="99"/>
    <w:semiHidden/>
    <w:rsid w:val="00F66A91"/>
    <w:rPr>
      <w:kern w:val="18"/>
    </w:rPr>
  </w:style>
  <w:style w:type="character" w:styleId="CommentReference">
    <w:name w:val="annotation reference"/>
    <w:basedOn w:val="DefaultParagraphFont"/>
    <w:uiPriority w:val="99"/>
    <w:semiHidden/>
    <w:unhideWhenUsed/>
    <w:rsid w:val="004C255D"/>
    <w:rPr>
      <w:sz w:val="16"/>
      <w:szCs w:val="16"/>
    </w:rPr>
  </w:style>
  <w:style w:type="paragraph" w:styleId="Date">
    <w:name w:val="Date"/>
    <w:basedOn w:val="Normal"/>
    <w:next w:val="Normal"/>
    <w:link w:val="DateChar"/>
    <w:uiPriority w:val="99"/>
    <w:semiHidden/>
    <w:unhideWhenUsed/>
    <w:rsid w:val="004C255D"/>
  </w:style>
  <w:style w:type="character" w:customStyle="1" w:styleId="DateChar">
    <w:name w:val="Date Char"/>
    <w:basedOn w:val="DefaultParagraphFont"/>
    <w:link w:val="Date"/>
    <w:uiPriority w:val="99"/>
    <w:semiHidden/>
    <w:rsid w:val="00F66A91"/>
    <w:rPr>
      <w:kern w:val="18"/>
    </w:rPr>
  </w:style>
  <w:style w:type="paragraph" w:styleId="DocumentMap">
    <w:name w:val="Document Map"/>
    <w:basedOn w:val="Normal"/>
    <w:link w:val="DocumentMapChar"/>
    <w:uiPriority w:val="99"/>
    <w:semiHidden/>
    <w:unhideWhenUsed/>
    <w:rsid w:val="004C255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6A91"/>
    <w:rPr>
      <w:rFonts w:ascii="Tahoma" w:hAnsi="Tahoma" w:cs="Tahoma"/>
      <w:kern w:val="18"/>
      <w:sz w:val="16"/>
      <w:szCs w:val="16"/>
    </w:rPr>
  </w:style>
  <w:style w:type="paragraph" w:styleId="EmailSignature">
    <w:name w:val="E-mail Signature"/>
    <w:basedOn w:val="Normal"/>
    <w:link w:val="EmailSignatureChar"/>
    <w:uiPriority w:val="99"/>
    <w:semiHidden/>
    <w:unhideWhenUsed/>
    <w:rsid w:val="004C255D"/>
    <w:pPr>
      <w:spacing w:line="240" w:lineRule="auto"/>
    </w:pPr>
  </w:style>
  <w:style w:type="character" w:customStyle="1" w:styleId="EmailSignatureChar">
    <w:name w:val="Email Signature Char"/>
    <w:basedOn w:val="DefaultParagraphFont"/>
    <w:link w:val="EmailSignature"/>
    <w:uiPriority w:val="99"/>
    <w:semiHidden/>
    <w:rsid w:val="00F66A91"/>
    <w:rPr>
      <w:kern w:val="18"/>
    </w:rPr>
  </w:style>
  <w:style w:type="character" w:styleId="Emphasis">
    <w:name w:val="Emphasis"/>
    <w:basedOn w:val="DefaultParagraphFont"/>
    <w:uiPriority w:val="20"/>
    <w:unhideWhenUsed/>
    <w:rsid w:val="004C255D"/>
    <w:rPr>
      <w:i/>
      <w:iCs/>
    </w:rPr>
  </w:style>
  <w:style w:type="character" w:styleId="EndnoteReference">
    <w:name w:val="endnote reference"/>
    <w:basedOn w:val="DefaultParagraphFont"/>
    <w:uiPriority w:val="99"/>
    <w:semiHidden/>
    <w:unhideWhenUsed/>
    <w:rsid w:val="004C255D"/>
    <w:rPr>
      <w:vertAlign w:val="superscript"/>
    </w:rPr>
  </w:style>
  <w:style w:type="paragraph" w:styleId="EndnoteText">
    <w:name w:val="endnote text"/>
    <w:basedOn w:val="Normal"/>
    <w:link w:val="EndnoteTextChar"/>
    <w:uiPriority w:val="99"/>
    <w:semiHidden/>
    <w:unhideWhenUsed/>
    <w:rsid w:val="004C255D"/>
    <w:pPr>
      <w:spacing w:line="240" w:lineRule="auto"/>
    </w:pPr>
    <w:rPr>
      <w:sz w:val="20"/>
      <w:szCs w:val="20"/>
    </w:rPr>
  </w:style>
  <w:style w:type="character" w:customStyle="1" w:styleId="EndnoteTextChar">
    <w:name w:val="Endnote Text Char"/>
    <w:basedOn w:val="DefaultParagraphFont"/>
    <w:link w:val="EndnoteText"/>
    <w:uiPriority w:val="99"/>
    <w:semiHidden/>
    <w:rsid w:val="00F66A91"/>
    <w:rPr>
      <w:kern w:val="18"/>
      <w:sz w:val="20"/>
      <w:szCs w:val="20"/>
    </w:rPr>
  </w:style>
  <w:style w:type="paragraph" w:styleId="EnvelopeAddress">
    <w:name w:val="envelope address"/>
    <w:basedOn w:val="Normal"/>
    <w:uiPriority w:val="99"/>
    <w:semiHidden/>
    <w:unhideWhenUsed/>
    <w:rsid w:val="004C255D"/>
    <w:pPr>
      <w:framePr w:w="7920" w:h="1980" w:hRule="exact" w:hSpace="180"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C255D"/>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uiPriority w:val="99"/>
    <w:semiHidden/>
    <w:unhideWhenUsed/>
    <w:rsid w:val="004C255D"/>
  </w:style>
  <w:style w:type="paragraph" w:styleId="HTMLAddress">
    <w:name w:val="HTML Address"/>
    <w:basedOn w:val="Normal"/>
    <w:link w:val="HTMLAddressChar"/>
    <w:uiPriority w:val="99"/>
    <w:semiHidden/>
    <w:unhideWhenUsed/>
    <w:rsid w:val="004C255D"/>
    <w:pPr>
      <w:spacing w:line="240" w:lineRule="auto"/>
    </w:pPr>
    <w:rPr>
      <w:i/>
      <w:iCs/>
    </w:rPr>
  </w:style>
  <w:style w:type="character" w:customStyle="1" w:styleId="HTMLAddressChar">
    <w:name w:val="HTML Address Char"/>
    <w:basedOn w:val="DefaultParagraphFont"/>
    <w:link w:val="HTMLAddress"/>
    <w:uiPriority w:val="99"/>
    <w:semiHidden/>
    <w:rsid w:val="00F66A91"/>
    <w:rPr>
      <w:i/>
      <w:iCs/>
      <w:kern w:val="18"/>
    </w:rPr>
  </w:style>
  <w:style w:type="character" w:styleId="HTMLCite">
    <w:name w:val="HTML Cite"/>
    <w:basedOn w:val="DefaultParagraphFont"/>
    <w:uiPriority w:val="99"/>
    <w:semiHidden/>
    <w:unhideWhenUsed/>
    <w:rsid w:val="004C255D"/>
    <w:rPr>
      <w:i/>
      <w:iCs/>
    </w:rPr>
  </w:style>
  <w:style w:type="character" w:styleId="HTMLCode">
    <w:name w:val="HTML Code"/>
    <w:basedOn w:val="DefaultParagraphFont"/>
    <w:uiPriority w:val="99"/>
    <w:semiHidden/>
    <w:unhideWhenUsed/>
    <w:rsid w:val="004C255D"/>
    <w:rPr>
      <w:rFonts w:ascii="Consolas" w:hAnsi="Consolas"/>
      <w:sz w:val="20"/>
      <w:szCs w:val="20"/>
    </w:rPr>
  </w:style>
  <w:style w:type="character" w:styleId="HTMLDefinition">
    <w:name w:val="HTML Definition"/>
    <w:basedOn w:val="DefaultParagraphFont"/>
    <w:uiPriority w:val="99"/>
    <w:semiHidden/>
    <w:unhideWhenUsed/>
    <w:rsid w:val="004C255D"/>
    <w:rPr>
      <w:i/>
      <w:iCs/>
    </w:rPr>
  </w:style>
  <w:style w:type="character" w:styleId="HTMLKeyboard">
    <w:name w:val="HTML Keyboard"/>
    <w:basedOn w:val="DefaultParagraphFont"/>
    <w:uiPriority w:val="99"/>
    <w:semiHidden/>
    <w:unhideWhenUsed/>
    <w:rsid w:val="004C255D"/>
    <w:rPr>
      <w:rFonts w:ascii="Consolas" w:hAnsi="Consolas"/>
      <w:sz w:val="20"/>
      <w:szCs w:val="20"/>
    </w:rPr>
  </w:style>
  <w:style w:type="paragraph" w:styleId="HTMLPreformatted">
    <w:name w:val="HTML Preformatted"/>
    <w:basedOn w:val="Normal"/>
    <w:link w:val="HTMLPreformattedChar"/>
    <w:uiPriority w:val="99"/>
    <w:semiHidden/>
    <w:unhideWhenUsed/>
    <w:rsid w:val="004C255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66A91"/>
    <w:rPr>
      <w:rFonts w:ascii="Consolas" w:hAnsi="Consolas"/>
      <w:kern w:val="18"/>
      <w:sz w:val="20"/>
      <w:szCs w:val="20"/>
    </w:rPr>
  </w:style>
  <w:style w:type="character" w:styleId="HTMLSample">
    <w:name w:val="HTML Sample"/>
    <w:basedOn w:val="DefaultParagraphFont"/>
    <w:uiPriority w:val="99"/>
    <w:semiHidden/>
    <w:unhideWhenUsed/>
    <w:rsid w:val="004C255D"/>
    <w:rPr>
      <w:rFonts w:ascii="Consolas" w:hAnsi="Consolas"/>
      <w:sz w:val="24"/>
      <w:szCs w:val="24"/>
    </w:rPr>
  </w:style>
  <w:style w:type="character" w:styleId="HTMLTypewriter">
    <w:name w:val="HTML Typewriter"/>
    <w:basedOn w:val="DefaultParagraphFont"/>
    <w:uiPriority w:val="99"/>
    <w:semiHidden/>
    <w:unhideWhenUsed/>
    <w:rsid w:val="004C255D"/>
    <w:rPr>
      <w:rFonts w:ascii="Consolas" w:hAnsi="Consolas"/>
      <w:sz w:val="20"/>
      <w:szCs w:val="20"/>
    </w:rPr>
  </w:style>
  <w:style w:type="character" w:styleId="HTMLVariable">
    <w:name w:val="HTML Variable"/>
    <w:basedOn w:val="DefaultParagraphFont"/>
    <w:uiPriority w:val="99"/>
    <w:semiHidden/>
    <w:unhideWhenUsed/>
    <w:rsid w:val="004C255D"/>
    <w:rPr>
      <w:i/>
      <w:iCs/>
    </w:rPr>
  </w:style>
  <w:style w:type="paragraph" w:styleId="Index1">
    <w:name w:val="index 1"/>
    <w:basedOn w:val="Normal"/>
    <w:next w:val="Normal"/>
    <w:autoRedefine/>
    <w:uiPriority w:val="99"/>
    <w:semiHidden/>
    <w:unhideWhenUsed/>
    <w:rsid w:val="004C255D"/>
    <w:pPr>
      <w:tabs>
        <w:tab w:val="clear" w:pos="284"/>
      </w:tabs>
      <w:spacing w:line="240" w:lineRule="auto"/>
      <w:ind w:left="180" w:hanging="180"/>
    </w:pPr>
  </w:style>
  <w:style w:type="paragraph" w:styleId="Index2">
    <w:name w:val="index 2"/>
    <w:basedOn w:val="Normal"/>
    <w:next w:val="Normal"/>
    <w:autoRedefine/>
    <w:uiPriority w:val="99"/>
    <w:semiHidden/>
    <w:unhideWhenUsed/>
    <w:rsid w:val="004C255D"/>
    <w:pPr>
      <w:tabs>
        <w:tab w:val="clear" w:pos="284"/>
      </w:tabs>
      <w:spacing w:line="240" w:lineRule="auto"/>
      <w:ind w:left="360" w:hanging="180"/>
    </w:pPr>
  </w:style>
  <w:style w:type="paragraph" w:styleId="Index3">
    <w:name w:val="index 3"/>
    <w:basedOn w:val="Normal"/>
    <w:next w:val="Normal"/>
    <w:autoRedefine/>
    <w:uiPriority w:val="99"/>
    <w:semiHidden/>
    <w:unhideWhenUsed/>
    <w:rsid w:val="004C255D"/>
    <w:pPr>
      <w:tabs>
        <w:tab w:val="clear" w:pos="284"/>
      </w:tabs>
      <w:spacing w:line="240" w:lineRule="auto"/>
      <w:ind w:left="540" w:hanging="180"/>
    </w:pPr>
  </w:style>
  <w:style w:type="paragraph" w:styleId="Index4">
    <w:name w:val="index 4"/>
    <w:basedOn w:val="Normal"/>
    <w:next w:val="Normal"/>
    <w:autoRedefine/>
    <w:uiPriority w:val="99"/>
    <w:semiHidden/>
    <w:unhideWhenUsed/>
    <w:rsid w:val="004C255D"/>
    <w:pPr>
      <w:tabs>
        <w:tab w:val="clear" w:pos="284"/>
      </w:tabs>
      <w:spacing w:line="240" w:lineRule="auto"/>
      <w:ind w:left="720" w:hanging="180"/>
    </w:pPr>
  </w:style>
  <w:style w:type="paragraph" w:styleId="Index5">
    <w:name w:val="index 5"/>
    <w:basedOn w:val="Normal"/>
    <w:next w:val="Normal"/>
    <w:autoRedefine/>
    <w:uiPriority w:val="99"/>
    <w:semiHidden/>
    <w:unhideWhenUsed/>
    <w:rsid w:val="004C255D"/>
    <w:pPr>
      <w:tabs>
        <w:tab w:val="clear" w:pos="284"/>
      </w:tabs>
      <w:spacing w:line="240" w:lineRule="auto"/>
      <w:ind w:left="900" w:hanging="180"/>
    </w:pPr>
  </w:style>
  <w:style w:type="paragraph" w:styleId="Index6">
    <w:name w:val="index 6"/>
    <w:basedOn w:val="Normal"/>
    <w:next w:val="Normal"/>
    <w:autoRedefine/>
    <w:uiPriority w:val="99"/>
    <w:semiHidden/>
    <w:unhideWhenUsed/>
    <w:rsid w:val="004C255D"/>
    <w:pPr>
      <w:tabs>
        <w:tab w:val="clear" w:pos="284"/>
      </w:tabs>
      <w:spacing w:line="240" w:lineRule="auto"/>
      <w:ind w:left="1080" w:hanging="180"/>
    </w:pPr>
  </w:style>
  <w:style w:type="paragraph" w:styleId="Index7">
    <w:name w:val="index 7"/>
    <w:basedOn w:val="Normal"/>
    <w:next w:val="Normal"/>
    <w:autoRedefine/>
    <w:uiPriority w:val="99"/>
    <w:semiHidden/>
    <w:unhideWhenUsed/>
    <w:rsid w:val="004C255D"/>
    <w:pPr>
      <w:tabs>
        <w:tab w:val="clear" w:pos="284"/>
      </w:tabs>
      <w:spacing w:line="240" w:lineRule="auto"/>
      <w:ind w:left="1260" w:hanging="180"/>
    </w:pPr>
  </w:style>
  <w:style w:type="paragraph" w:styleId="Index8">
    <w:name w:val="index 8"/>
    <w:basedOn w:val="Normal"/>
    <w:next w:val="Normal"/>
    <w:autoRedefine/>
    <w:uiPriority w:val="99"/>
    <w:semiHidden/>
    <w:unhideWhenUsed/>
    <w:rsid w:val="004C255D"/>
    <w:pPr>
      <w:tabs>
        <w:tab w:val="clear" w:pos="284"/>
      </w:tabs>
      <w:spacing w:line="240" w:lineRule="auto"/>
      <w:ind w:left="1440" w:hanging="180"/>
    </w:pPr>
  </w:style>
  <w:style w:type="paragraph" w:styleId="Index9">
    <w:name w:val="index 9"/>
    <w:basedOn w:val="Normal"/>
    <w:next w:val="Normal"/>
    <w:autoRedefine/>
    <w:uiPriority w:val="99"/>
    <w:semiHidden/>
    <w:unhideWhenUsed/>
    <w:rsid w:val="004C255D"/>
    <w:pPr>
      <w:tabs>
        <w:tab w:val="clear" w:pos="284"/>
      </w:tabs>
      <w:spacing w:line="240" w:lineRule="auto"/>
      <w:ind w:left="1620" w:hanging="180"/>
    </w:pPr>
  </w:style>
  <w:style w:type="paragraph" w:styleId="IndexHeading">
    <w:name w:val="index heading"/>
    <w:basedOn w:val="Normal"/>
    <w:next w:val="Index1"/>
    <w:uiPriority w:val="99"/>
    <w:semiHidden/>
    <w:unhideWhenUsed/>
    <w:rsid w:val="004C255D"/>
    <w:rPr>
      <w:rFonts w:asciiTheme="majorHAnsi" w:eastAsiaTheme="majorEastAsia" w:hAnsiTheme="majorHAnsi" w:cstheme="majorBidi"/>
      <w:b/>
      <w:bCs/>
    </w:rPr>
  </w:style>
  <w:style w:type="character" w:styleId="IntenseEmphasis">
    <w:name w:val="Intense Emphasis"/>
    <w:basedOn w:val="DefaultParagraphFont"/>
    <w:uiPriority w:val="21"/>
    <w:unhideWhenUsed/>
    <w:rsid w:val="004C255D"/>
    <w:rPr>
      <w:b/>
      <w:bCs/>
      <w:i/>
      <w:iCs/>
      <w:color w:val="008768" w:themeColor="accent1"/>
    </w:rPr>
  </w:style>
  <w:style w:type="paragraph" w:styleId="IntenseQuote">
    <w:name w:val="Intense Quote"/>
    <w:basedOn w:val="Normal"/>
    <w:next w:val="Normal"/>
    <w:link w:val="IntenseQuoteChar"/>
    <w:uiPriority w:val="30"/>
    <w:unhideWhenUsed/>
    <w:rsid w:val="004C255D"/>
    <w:pPr>
      <w:pBdr>
        <w:bottom w:val="single" w:sz="4" w:space="4" w:color="008768" w:themeColor="accent1"/>
      </w:pBdr>
      <w:spacing w:before="200" w:after="280"/>
      <w:ind w:left="936" w:right="936"/>
    </w:pPr>
    <w:rPr>
      <w:b/>
      <w:bCs/>
      <w:i/>
      <w:iCs/>
      <w:color w:val="008768" w:themeColor="accent1"/>
    </w:rPr>
  </w:style>
  <w:style w:type="character" w:customStyle="1" w:styleId="IntenseQuoteChar">
    <w:name w:val="Intense Quote Char"/>
    <w:basedOn w:val="DefaultParagraphFont"/>
    <w:link w:val="IntenseQuote"/>
    <w:uiPriority w:val="30"/>
    <w:rsid w:val="00F66A91"/>
    <w:rPr>
      <w:b/>
      <w:bCs/>
      <w:i/>
      <w:iCs/>
      <w:color w:val="008768" w:themeColor="accent1"/>
      <w:kern w:val="18"/>
    </w:rPr>
  </w:style>
  <w:style w:type="character" w:styleId="IntenseReference">
    <w:name w:val="Intense Reference"/>
    <w:basedOn w:val="DefaultParagraphFont"/>
    <w:uiPriority w:val="32"/>
    <w:unhideWhenUsed/>
    <w:rsid w:val="004C255D"/>
    <w:rPr>
      <w:b/>
      <w:bCs/>
      <w:smallCaps/>
      <w:color w:val="00353E" w:themeColor="accent2"/>
      <w:spacing w:val="5"/>
      <w:u w:val="single"/>
    </w:rPr>
  </w:style>
  <w:style w:type="character" w:styleId="LineNumber">
    <w:name w:val="line number"/>
    <w:basedOn w:val="DefaultParagraphFont"/>
    <w:uiPriority w:val="99"/>
    <w:semiHidden/>
    <w:unhideWhenUsed/>
    <w:rsid w:val="004C255D"/>
  </w:style>
  <w:style w:type="paragraph" w:styleId="List">
    <w:name w:val="List"/>
    <w:basedOn w:val="Normal"/>
    <w:uiPriority w:val="99"/>
    <w:semiHidden/>
    <w:unhideWhenUsed/>
    <w:rsid w:val="004C255D"/>
    <w:pPr>
      <w:ind w:left="283" w:hanging="283"/>
      <w:contextualSpacing/>
    </w:pPr>
  </w:style>
  <w:style w:type="paragraph" w:styleId="List2">
    <w:name w:val="List 2"/>
    <w:basedOn w:val="Normal"/>
    <w:uiPriority w:val="99"/>
    <w:semiHidden/>
    <w:unhideWhenUsed/>
    <w:rsid w:val="004C255D"/>
    <w:pPr>
      <w:ind w:left="566" w:hanging="283"/>
      <w:contextualSpacing/>
    </w:pPr>
  </w:style>
  <w:style w:type="paragraph" w:styleId="List3">
    <w:name w:val="List 3"/>
    <w:basedOn w:val="Normal"/>
    <w:uiPriority w:val="99"/>
    <w:semiHidden/>
    <w:unhideWhenUsed/>
    <w:rsid w:val="004C255D"/>
    <w:pPr>
      <w:ind w:left="849" w:hanging="283"/>
      <w:contextualSpacing/>
    </w:pPr>
  </w:style>
  <w:style w:type="paragraph" w:styleId="List4">
    <w:name w:val="List 4"/>
    <w:basedOn w:val="Normal"/>
    <w:uiPriority w:val="99"/>
    <w:semiHidden/>
    <w:unhideWhenUsed/>
    <w:rsid w:val="004C255D"/>
    <w:pPr>
      <w:ind w:left="1132" w:hanging="283"/>
      <w:contextualSpacing/>
    </w:pPr>
  </w:style>
  <w:style w:type="paragraph" w:styleId="List5">
    <w:name w:val="List 5"/>
    <w:basedOn w:val="Normal"/>
    <w:uiPriority w:val="99"/>
    <w:semiHidden/>
    <w:unhideWhenUsed/>
    <w:rsid w:val="004C255D"/>
    <w:pPr>
      <w:ind w:left="1415" w:hanging="283"/>
      <w:contextualSpacing/>
    </w:pPr>
  </w:style>
  <w:style w:type="paragraph" w:styleId="ListBullet4">
    <w:name w:val="List Bullet 4"/>
    <w:basedOn w:val="Normal"/>
    <w:uiPriority w:val="99"/>
    <w:semiHidden/>
    <w:unhideWhenUsed/>
    <w:rsid w:val="004C255D"/>
    <w:pPr>
      <w:numPr>
        <w:numId w:val="3"/>
      </w:numPr>
      <w:contextualSpacing/>
    </w:pPr>
  </w:style>
  <w:style w:type="paragraph" w:styleId="ListBullet5">
    <w:name w:val="List Bullet 5"/>
    <w:basedOn w:val="Normal"/>
    <w:uiPriority w:val="99"/>
    <w:semiHidden/>
    <w:unhideWhenUsed/>
    <w:rsid w:val="004C255D"/>
    <w:pPr>
      <w:numPr>
        <w:numId w:val="4"/>
      </w:numPr>
      <w:contextualSpacing/>
    </w:pPr>
  </w:style>
  <w:style w:type="paragraph" w:styleId="ListContinue">
    <w:name w:val="List Continue"/>
    <w:basedOn w:val="Normal"/>
    <w:uiPriority w:val="99"/>
    <w:semiHidden/>
    <w:unhideWhenUsed/>
    <w:rsid w:val="004C255D"/>
    <w:pPr>
      <w:spacing w:after="120"/>
      <w:ind w:left="283"/>
      <w:contextualSpacing/>
    </w:pPr>
  </w:style>
  <w:style w:type="paragraph" w:styleId="ListContinue2">
    <w:name w:val="List Continue 2"/>
    <w:basedOn w:val="Normal"/>
    <w:uiPriority w:val="99"/>
    <w:semiHidden/>
    <w:unhideWhenUsed/>
    <w:rsid w:val="004C255D"/>
    <w:pPr>
      <w:spacing w:after="120"/>
      <w:ind w:left="566"/>
      <w:contextualSpacing/>
    </w:pPr>
  </w:style>
  <w:style w:type="paragraph" w:styleId="ListContinue3">
    <w:name w:val="List Continue 3"/>
    <w:basedOn w:val="Normal"/>
    <w:uiPriority w:val="99"/>
    <w:semiHidden/>
    <w:unhideWhenUsed/>
    <w:rsid w:val="004C255D"/>
    <w:pPr>
      <w:spacing w:after="120"/>
      <w:ind w:left="849"/>
      <w:contextualSpacing/>
    </w:pPr>
  </w:style>
  <w:style w:type="paragraph" w:styleId="ListContinue4">
    <w:name w:val="List Continue 4"/>
    <w:basedOn w:val="Normal"/>
    <w:uiPriority w:val="99"/>
    <w:semiHidden/>
    <w:unhideWhenUsed/>
    <w:rsid w:val="004C255D"/>
    <w:pPr>
      <w:spacing w:after="120"/>
      <w:ind w:left="1132"/>
      <w:contextualSpacing/>
    </w:pPr>
  </w:style>
  <w:style w:type="paragraph" w:styleId="ListContinue5">
    <w:name w:val="List Continue 5"/>
    <w:basedOn w:val="Normal"/>
    <w:uiPriority w:val="99"/>
    <w:semiHidden/>
    <w:unhideWhenUsed/>
    <w:rsid w:val="004C255D"/>
    <w:pPr>
      <w:spacing w:after="120"/>
      <w:ind w:left="1415"/>
      <w:contextualSpacing/>
    </w:pPr>
  </w:style>
  <w:style w:type="paragraph" w:styleId="ListNumber4">
    <w:name w:val="List Number 4"/>
    <w:basedOn w:val="Normal"/>
    <w:uiPriority w:val="99"/>
    <w:semiHidden/>
    <w:unhideWhenUsed/>
    <w:rsid w:val="004C255D"/>
    <w:pPr>
      <w:numPr>
        <w:numId w:val="5"/>
      </w:numPr>
      <w:contextualSpacing/>
    </w:pPr>
  </w:style>
  <w:style w:type="paragraph" w:styleId="ListNumber5">
    <w:name w:val="List Number 5"/>
    <w:basedOn w:val="Normal"/>
    <w:uiPriority w:val="99"/>
    <w:semiHidden/>
    <w:unhideWhenUsed/>
    <w:rsid w:val="004C255D"/>
    <w:pPr>
      <w:numPr>
        <w:numId w:val="6"/>
      </w:numPr>
      <w:contextualSpacing/>
    </w:pPr>
  </w:style>
  <w:style w:type="paragraph" w:styleId="ListParagraph">
    <w:name w:val="List Paragraph"/>
    <w:basedOn w:val="Normal"/>
    <w:uiPriority w:val="34"/>
    <w:unhideWhenUsed/>
    <w:qFormat/>
    <w:rsid w:val="004C255D"/>
    <w:pPr>
      <w:ind w:left="720"/>
      <w:contextualSpacing/>
    </w:pPr>
  </w:style>
  <w:style w:type="paragraph" w:styleId="MacroText">
    <w:name w:val="macro"/>
    <w:link w:val="MacroTextChar"/>
    <w:uiPriority w:val="99"/>
    <w:semiHidden/>
    <w:unhideWhenUsed/>
    <w:rsid w:val="004C255D"/>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F66A91"/>
    <w:rPr>
      <w:rFonts w:ascii="Consolas" w:hAnsi="Consolas"/>
      <w:sz w:val="20"/>
      <w:szCs w:val="20"/>
    </w:rPr>
  </w:style>
  <w:style w:type="paragraph" w:styleId="MessageHeader">
    <w:name w:val="Message Header"/>
    <w:basedOn w:val="Normal"/>
    <w:link w:val="MessageHeaderChar"/>
    <w:uiPriority w:val="99"/>
    <w:semiHidden/>
    <w:unhideWhenUsed/>
    <w:rsid w:val="004C255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F66A91"/>
    <w:rPr>
      <w:rFonts w:asciiTheme="majorHAnsi" w:eastAsiaTheme="majorEastAsia" w:hAnsiTheme="majorHAnsi" w:cstheme="majorBidi"/>
      <w:kern w:val="18"/>
      <w:sz w:val="24"/>
      <w:szCs w:val="24"/>
      <w:shd w:val="pct20" w:color="auto" w:fill="auto"/>
    </w:rPr>
  </w:style>
  <w:style w:type="paragraph" w:styleId="NoSpacing">
    <w:name w:val="No Spacing"/>
    <w:uiPriority w:val="1"/>
    <w:unhideWhenUsed/>
    <w:rsid w:val="004C255D"/>
    <w:pPr>
      <w:tabs>
        <w:tab w:val="left" w:pos="284"/>
      </w:tabs>
    </w:pPr>
  </w:style>
  <w:style w:type="paragraph" w:styleId="NormalWeb">
    <w:name w:val="Normal (Web)"/>
    <w:basedOn w:val="Normal"/>
    <w:uiPriority w:val="99"/>
    <w:semiHidden/>
    <w:unhideWhenUsed/>
    <w:rsid w:val="004C255D"/>
    <w:rPr>
      <w:rFonts w:ascii="Times New Roman" w:hAnsi="Times New Roman" w:cs="Times New Roman"/>
      <w:szCs w:val="24"/>
    </w:rPr>
  </w:style>
  <w:style w:type="paragraph" w:styleId="NormalIndent">
    <w:name w:val="Normal Indent"/>
    <w:basedOn w:val="Normal"/>
    <w:uiPriority w:val="99"/>
    <w:semiHidden/>
    <w:unhideWhenUsed/>
    <w:rsid w:val="004C255D"/>
    <w:pPr>
      <w:ind w:left="720"/>
    </w:pPr>
  </w:style>
  <w:style w:type="paragraph" w:styleId="NoteHeading">
    <w:name w:val="Note Heading"/>
    <w:basedOn w:val="Normal"/>
    <w:next w:val="Normal"/>
    <w:link w:val="NoteHeadingChar"/>
    <w:uiPriority w:val="99"/>
    <w:semiHidden/>
    <w:unhideWhenUsed/>
    <w:rsid w:val="004C255D"/>
    <w:pPr>
      <w:spacing w:line="240" w:lineRule="auto"/>
    </w:pPr>
  </w:style>
  <w:style w:type="character" w:customStyle="1" w:styleId="NoteHeadingChar">
    <w:name w:val="Note Heading Char"/>
    <w:basedOn w:val="DefaultParagraphFont"/>
    <w:link w:val="NoteHeading"/>
    <w:uiPriority w:val="99"/>
    <w:semiHidden/>
    <w:rsid w:val="00F66A91"/>
    <w:rPr>
      <w:kern w:val="18"/>
    </w:rPr>
  </w:style>
  <w:style w:type="character" w:styleId="PageNumber">
    <w:name w:val="page number"/>
    <w:basedOn w:val="DefaultParagraphFont"/>
    <w:uiPriority w:val="99"/>
    <w:semiHidden/>
    <w:unhideWhenUsed/>
    <w:rsid w:val="004C255D"/>
  </w:style>
  <w:style w:type="character" w:styleId="PlaceholderText">
    <w:name w:val="Placeholder Text"/>
    <w:basedOn w:val="DefaultParagraphFont"/>
    <w:uiPriority w:val="99"/>
    <w:semiHidden/>
    <w:unhideWhenUsed/>
    <w:rsid w:val="004C255D"/>
    <w:rPr>
      <w:color w:val="808080"/>
    </w:rPr>
  </w:style>
  <w:style w:type="paragraph" w:styleId="PlainText">
    <w:name w:val="Plain Text"/>
    <w:basedOn w:val="Normal"/>
    <w:link w:val="PlainTextChar"/>
    <w:uiPriority w:val="99"/>
    <w:semiHidden/>
    <w:unhideWhenUsed/>
    <w:rsid w:val="004C255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66A91"/>
    <w:rPr>
      <w:rFonts w:ascii="Consolas" w:hAnsi="Consolas"/>
      <w:kern w:val="18"/>
      <w:sz w:val="21"/>
      <w:szCs w:val="21"/>
    </w:rPr>
  </w:style>
  <w:style w:type="paragraph" w:styleId="Salutation">
    <w:name w:val="Salutation"/>
    <w:basedOn w:val="Normal"/>
    <w:next w:val="Normal"/>
    <w:link w:val="SalutationChar"/>
    <w:uiPriority w:val="99"/>
    <w:semiHidden/>
    <w:unhideWhenUsed/>
    <w:rsid w:val="004C255D"/>
  </w:style>
  <w:style w:type="character" w:customStyle="1" w:styleId="SalutationChar">
    <w:name w:val="Salutation Char"/>
    <w:basedOn w:val="DefaultParagraphFont"/>
    <w:link w:val="Salutation"/>
    <w:uiPriority w:val="99"/>
    <w:semiHidden/>
    <w:rsid w:val="00F66A91"/>
    <w:rPr>
      <w:kern w:val="18"/>
    </w:rPr>
  </w:style>
  <w:style w:type="paragraph" w:styleId="Signature">
    <w:name w:val="Signature"/>
    <w:basedOn w:val="Normal"/>
    <w:link w:val="SignatureChar"/>
    <w:uiPriority w:val="99"/>
    <w:semiHidden/>
    <w:unhideWhenUsed/>
    <w:rsid w:val="004C255D"/>
    <w:pPr>
      <w:spacing w:line="240" w:lineRule="auto"/>
      <w:ind w:left="4252"/>
    </w:pPr>
  </w:style>
  <w:style w:type="character" w:customStyle="1" w:styleId="SignatureChar">
    <w:name w:val="Signature Char"/>
    <w:basedOn w:val="DefaultParagraphFont"/>
    <w:link w:val="Signature"/>
    <w:uiPriority w:val="99"/>
    <w:semiHidden/>
    <w:rsid w:val="00F66A91"/>
    <w:rPr>
      <w:kern w:val="18"/>
    </w:rPr>
  </w:style>
  <w:style w:type="character" w:styleId="SubtleEmphasis">
    <w:name w:val="Subtle Emphasis"/>
    <w:basedOn w:val="DefaultParagraphFont"/>
    <w:uiPriority w:val="19"/>
    <w:unhideWhenUsed/>
    <w:rsid w:val="004C255D"/>
    <w:rPr>
      <w:i/>
      <w:iCs/>
      <w:color w:val="808080" w:themeColor="text1" w:themeTint="7F"/>
    </w:rPr>
  </w:style>
  <w:style w:type="character" w:styleId="SubtleReference">
    <w:name w:val="Subtle Reference"/>
    <w:basedOn w:val="DefaultParagraphFont"/>
    <w:uiPriority w:val="31"/>
    <w:unhideWhenUsed/>
    <w:rsid w:val="004C255D"/>
    <w:rPr>
      <w:smallCaps/>
      <w:color w:val="00353E" w:themeColor="accent2"/>
      <w:u w:val="single"/>
    </w:rPr>
  </w:style>
  <w:style w:type="paragraph" w:styleId="TableofAuthorities">
    <w:name w:val="table of authorities"/>
    <w:basedOn w:val="Normal"/>
    <w:next w:val="Normal"/>
    <w:uiPriority w:val="99"/>
    <w:semiHidden/>
    <w:unhideWhenUsed/>
    <w:rsid w:val="004C255D"/>
    <w:pPr>
      <w:tabs>
        <w:tab w:val="clear" w:pos="284"/>
      </w:tabs>
      <w:ind w:left="180" w:hanging="180"/>
    </w:pPr>
  </w:style>
  <w:style w:type="paragraph" w:styleId="TOAHeading">
    <w:name w:val="toa heading"/>
    <w:basedOn w:val="Normal"/>
    <w:next w:val="Normal"/>
    <w:uiPriority w:val="99"/>
    <w:semiHidden/>
    <w:unhideWhenUsed/>
    <w:rsid w:val="004C255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unhideWhenUsed/>
    <w:rsid w:val="003964F2"/>
    <w:pPr>
      <w:tabs>
        <w:tab w:val="clear" w:pos="284"/>
        <w:tab w:val="right" w:leader="dot" w:pos="9026"/>
      </w:tabs>
      <w:spacing w:after="40"/>
    </w:pPr>
  </w:style>
  <w:style w:type="paragraph" w:styleId="TOC5">
    <w:name w:val="toc 5"/>
    <w:basedOn w:val="Normal"/>
    <w:next w:val="Normal"/>
    <w:autoRedefine/>
    <w:uiPriority w:val="39"/>
    <w:unhideWhenUsed/>
    <w:rsid w:val="004C255D"/>
    <w:pPr>
      <w:tabs>
        <w:tab w:val="clear" w:pos="284"/>
      </w:tabs>
      <w:spacing w:after="100"/>
      <w:ind w:left="720"/>
    </w:pPr>
  </w:style>
  <w:style w:type="paragraph" w:styleId="TOC6">
    <w:name w:val="toc 6"/>
    <w:basedOn w:val="Normal"/>
    <w:next w:val="Normal"/>
    <w:autoRedefine/>
    <w:uiPriority w:val="39"/>
    <w:unhideWhenUsed/>
    <w:rsid w:val="004C255D"/>
    <w:pPr>
      <w:tabs>
        <w:tab w:val="clear" w:pos="284"/>
      </w:tabs>
      <w:spacing w:after="100"/>
      <w:ind w:left="900"/>
    </w:pPr>
  </w:style>
  <w:style w:type="paragraph" w:styleId="TOC7">
    <w:name w:val="toc 7"/>
    <w:basedOn w:val="Normal"/>
    <w:next w:val="Normal"/>
    <w:autoRedefine/>
    <w:uiPriority w:val="39"/>
    <w:unhideWhenUsed/>
    <w:rsid w:val="004C255D"/>
    <w:pPr>
      <w:tabs>
        <w:tab w:val="clear" w:pos="284"/>
      </w:tabs>
      <w:spacing w:after="100"/>
      <w:ind w:left="1080"/>
    </w:pPr>
  </w:style>
  <w:style w:type="paragraph" w:styleId="TOC8">
    <w:name w:val="toc 8"/>
    <w:basedOn w:val="Normal"/>
    <w:next w:val="Normal"/>
    <w:autoRedefine/>
    <w:uiPriority w:val="39"/>
    <w:unhideWhenUsed/>
    <w:rsid w:val="004C255D"/>
    <w:pPr>
      <w:tabs>
        <w:tab w:val="clear" w:pos="284"/>
      </w:tabs>
      <w:spacing w:after="100"/>
      <w:ind w:left="1260"/>
    </w:pPr>
  </w:style>
  <w:style w:type="paragraph" w:styleId="TOC9">
    <w:name w:val="toc 9"/>
    <w:basedOn w:val="Normal"/>
    <w:next w:val="Normal"/>
    <w:autoRedefine/>
    <w:uiPriority w:val="39"/>
    <w:unhideWhenUsed/>
    <w:rsid w:val="004C255D"/>
    <w:pPr>
      <w:tabs>
        <w:tab w:val="clear" w:pos="284"/>
      </w:tabs>
      <w:spacing w:after="100"/>
      <w:ind w:left="1440"/>
    </w:pPr>
  </w:style>
  <w:style w:type="paragraph" w:customStyle="1" w:styleId="CVHeading">
    <w:name w:val="CV Heading"/>
    <w:basedOn w:val="BodyText"/>
    <w:uiPriority w:val="23"/>
    <w:rsid w:val="004C255D"/>
    <w:rPr>
      <w:rFonts w:asciiTheme="majorHAnsi" w:hAnsiTheme="majorHAnsi"/>
      <w:b/>
    </w:rPr>
  </w:style>
  <w:style w:type="paragraph" w:customStyle="1" w:styleId="CVIntroduction">
    <w:name w:val="CV Introduction"/>
    <w:basedOn w:val="BodyText"/>
    <w:uiPriority w:val="22"/>
    <w:rsid w:val="004C255D"/>
    <w:pPr>
      <w:pBdr>
        <w:top w:val="single" w:sz="4" w:space="6" w:color="auto"/>
        <w:bottom w:val="single" w:sz="4" w:space="6" w:color="auto"/>
      </w:pBdr>
    </w:pPr>
    <w:rPr>
      <w:sz w:val="28"/>
    </w:rPr>
  </w:style>
  <w:style w:type="paragraph" w:customStyle="1" w:styleId="CVTitle">
    <w:name w:val="CV Title"/>
    <w:basedOn w:val="Normal"/>
    <w:uiPriority w:val="1"/>
    <w:semiHidden/>
    <w:unhideWhenUsed/>
    <w:rsid w:val="004C255D"/>
    <w:pPr>
      <w:tabs>
        <w:tab w:val="clear" w:pos="284"/>
      </w:tabs>
    </w:pPr>
    <w:rPr>
      <w:rFonts w:asciiTheme="majorHAnsi" w:hAnsiTheme="majorHAnsi"/>
      <w:color w:val="000000" w:themeColor="text1"/>
      <w:sz w:val="32"/>
    </w:rPr>
  </w:style>
  <w:style w:type="table" w:customStyle="1" w:styleId="Tablenoborders">
    <w:name w:val="Table no borders"/>
    <w:basedOn w:val="TableNormal"/>
    <w:uiPriority w:val="99"/>
    <w:semiHidden/>
    <w:unhideWhenUsed/>
    <w:rsid w:val="00C314D3"/>
    <w:tblPr>
      <w:tblCellMar>
        <w:left w:w="0" w:type="dxa"/>
        <w:right w:w="0" w:type="dxa"/>
      </w:tblCellMar>
    </w:tblPr>
  </w:style>
  <w:style w:type="numbering" w:customStyle="1" w:styleId="AECOMTableBullets">
    <w:name w:val="AECOM Table Bullets"/>
    <w:uiPriority w:val="99"/>
    <w:semiHidden/>
    <w:unhideWhenUsed/>
    <w:rsid w:val="002740A7"/>
    <w:pPr>
      <w:numPr>
        <w:numId w:val="17"/>
      </w:numPr>
    </w:pPr>
  </w:style>
  <w:style w:type="numbering" w:customStyle="1" w:styleId="AECOMTableNumbering">
    <w:name w:val="AECOM Table Numbering"/>
    <w:uiPriority w:val="99"/>
    <w:semiHidden/>
    <w:unhideWhenUsed/>
    <w:rsid w:val="002740A7"/>
    <w:pPr>
      <w:numPr>
        <w:numId w:val="18"/>
      </w:numPr>
    </w:pPr>
  </w:style>
  <w:style w:type="paragraph" w:customStyle="1" w:styleId="TableListBullet">
    <w:name w:val="Table List Bullet"/>
    <w:basedOn w:val="Normal"/>
    <w:uiPriority w:val="15"/>
    <w:qFormat/>
    <w:rsid w:val="002740A7"/>
    <w:pPr>
      <w:numPr>
        <w:numId w:val="20"/>
      </w:numPr>
      <w:tabs>
        <w:tab w:val="clear" w:pos="284"/>
      </w:tabs>
      <w:spacing w:after="40" w:line="240" w:lineRule="auto"/>
    </w:pPr>
    <w:rPr>
      <w:sz w:val="16"/>
    </w:rPr>
  </w:style>
  <w:style w:type="paragraph" w:customStyle="1" w:styleId="TableListBullet2">
    <w:name w:val="Table List Bullet 2"/>
    <w:basedOn w:val="Normal"/>
    <w:uiPriority w:val="16"/>
    <w:qFormat/>
    <w:rsid w:val="002740A7"/>
    <w:pPr>
      <w:tabs>
        <w:tab w:val="clear" w:pos="284"/>
      </w:tabs>
      <w:spacing w:after="40" w:line="240" w:lineRule="auto"/>
      <w:ind w:left="568" w:hanging="284"/>
    </w:pPr>
    <w:rPr>
      <w:sz w:val="16"/>
    </w:rPr>
  </w:style>
  <w:style w:type="paragraph" w:customStyle="1" w:styleId="TableListBullet3">
    <w:name w:val="Table List Bullet 3"/>
    <w:basedOn w:val="Normal"/>
    <w:uiPriority w:val="17"/>
    <w:qFormat/>
    <w:rsid w:val="002740A7"/>
    <w:pPr>
      <w:numPr>
        <w:ilvl w:val="2"/>
        <w:numId w:val="20"/>
      </w:numPr>
      <w:tabs>
        <w:tab w:val="clear" w:pos="284"/>
      </w:tabs>
      <w:spacing w:after="40" w:line="240" w:lineRule="auto"/>
    </w:pPr>
    <w:rPr>
      <w:sz w:val="16"/>
    </w:rPr>
  </w:style>
  <w:style w:type="paragraph" w:customStyle="1" w:styleId="TableListNumber">
    <w:name w:val="Table List Number"/>
    <w:basedOn w:val="BodyText"/>
    <w:uiPriority w:val="18"/>
    <w:qFormat/>
    <w:rsid w:val="002740A7"/>
    <w:pPr>
      <w:numPr>
        <w:numId w:val="19"/>
      </w:numPr>
      <w:spacing w:after="40" w:line="240" w:lineRule="auto"/>
    </w:pPr>
    <w:rPr>
      <w:sz w:val="16"/>
    </w:rPr>
  </w:style>
  <w:style w:type="paragraph" w:customStyle="1" w:styleId="TableListNumber2">
    <w:name w:val="Table List Number 2"/>
    <w:basedOn w:val="Normal"/>
    <w:uiPriority w:val="19"/>
    <w:qFormat/>
    <w:rsid w:val="002740A7"/>
    <w:pPr>
      <w:numPr>
        <w:ilvl w:val="1"/>
        <w:numId w:val="19"/>
      </w:numPr>
      <w:tabs>
        <w:tab w:val="clear" w:pos="284"/>
      </w:tabs>
      <w:spacing w:after="40" w:line="240" w:lineRule="auto"/>
    </w:pPr>
    <w:rPr>
      <w:sz w:val="16"/>
    </w:rPr>
  </w:style>
  <w:style w:type="paragraph" w:customStyle="1" w:styleId="TableListNumber3">
    <w:name w:val="Table List Number 3"/>
    <w:basedOn w:val="Normal"/>
    <w:uiPriority w:val="20"/>
    <w:qFormat/>
    <w:rsid w:val="002740A7"/>
    <w:pPr>
      <w:numPr>
        <w:ilvl w:val="2"/>
        <w:numId w:val="19"/>
      </w:numPr>
      <w:tabs>
        <w:tab w:val="clear" w:pos="284"/>
      </w:tabs>
      <w:spacing w:after="40" w:line="240" w:lineRule="auto"/>
    </w:pPr>
    <w:rPr>
      <w:sz w:val="16"/>
    </w:rPr>
  </w:style>
  <w:style w:type="paragraph" w:customStyle="1" w:styleId="Tabletext">
    <w:name w:val="Table text"/>
    <w:basedOn w:val="BodyText"/>
    <w:uiPriority w:val="1"/>
    <w:qFormat/>
    <w:rsid w:val="00FA18CD"/>
    <w:pPr>
      <w:spacing w:before="40" w:after="40" w:line="240" w:lineRule="auto"/>
    </w:pPr>
    <w:rPr>
      <w:sz w:val="16"/>
    </w:rPr>
  </w:style>
  <w:style w:type="paragraph" w:customStyle="1" w:styleId="Callout">
    <w:name w:val="Callout"/>
    <w:basedOn w:val="BodyText"/>
    <w:uiPriority w:val="1"/>
    <w:semiHidden/>
    <w:unhideWhenUsed/>
    <w:rsid w:val="00F352C7"/>
    <w:pPr>
      <w:spacing w:after="60"/>
    </w:pPr>
  </w:style>
  <w:style w:type="paragraph" w:customStyle="1" w:styleId="SQL">
    <w:name w:val="SQL"/>
    <w:uiPriority w:val="1"/>
    <w:semiHidden/>
    <w:unhideWhenUsed/>
    <w:rsid w:val="004D4675"/>
    <w:pPr>
      <w:spacing w:after="120" w:line="240" w:lineRule="atLeast"/>
    </w:pPr>
    <w:rPr>
      <w:sz w:val="16"/>
      <w:lang w:val="en-CA"/>
    </w:rPr>
  </w:style>
  <w:style w:type="table" w:customStyle="1" w:styleId="AECOMcolouredtable">
    <w:name w:val="AECOM coloured table"/>
    <w:basedOn w:val="TableNormal"/>
    <w:uiPriority w:val="99"/>
    <w:semiHidden/>
    <w:unhideWhenUsed/>
    <w:rsid w:val="00890ADA"/>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8768" w:themeFill="accent1"/>
      </w:tcPr>
    </w:tblStylePr>
    <w:tblStylePr w:type="firstCol">
      <w:rPr>
        <w:b/>
        <w:color w:val="FFFFFF" w:themeColor="background1"/>
      </w:rPr>
      <w:tblPr/>
      <w:tcPr>
        <w:tcBorders>
          <w:right w:val="single" w:sz="12" w:space="0" w:color="FFFFFF" w:themeColor="background1"/>
        </w:tcBorders>
        <w:shd w:val="clear" w:color="auto" w:fill="008768" w:themeFill="accent1"/>
      </w:tcPr>
    </w:tblStylePr>
    <w:tblStylePr w:type="band1Horz">
      <w:tblPr/>
      <w:tcPr>
        <w:shd w:val="clear" w:color="auto" w:fill="B4FFED" w:themeFill="accent1" w:themeFillTint="33"/>
      </w:tcPr>
    </w:tblStylePr>
    <w:tblStylePr w:type="band2Horz">
      <w:tblPr/>
      <w:tcPr>
        <w:shd w:val="clear" w:color="auto" w:fill="69FFDC" w:themeFill="accent1" w:themeFillTint="66"/>
      </w:tcPr>
    </w:tblStylePr>
  </w:style>
  <w:style w:type="paragraph" w:customStyle="1" w:styleId="Appendixheading2">
    <w:name w:val="Appendix heading 2"/>
    <w:basedOn w:val="Heading2"/>
    <w:link w:val="Appendixheading2Char"/>
    <w:uiPriority w:val="7"/>
    <w:qFormat/>
    <w:rsid w:val="00201C53"/>
    <w:pPr>
      <w:numPr>
        <w:ilvl w:val="0"/>
        <w:numId w:val="0"/>
      </w:numPr>
      <w:ind w:left="851"/>
    </w:pPr>
    <w:rPr>
      <w:rFonts w:cstheme="majorHAnsi"/>
      <w:szCs w:val="36"/>
    </w:rPr>
  </w:style>
  <w:style w:type="paragraph" w:customStyle="1" w:styleId="Numberedtext">
    <w:name w:val="Numbered text"/>
    <w:basedOn w:val="Heading1"/>
    <w:link w:val="NumberedtextChar"/>
    <w:uiPriority w:val="2"/>
    <w:qFormat/>
    <w:rsid w:val="00CC131A"/>
    <w:pPr>
      <w:keepNext w:val="0"/>
      <w:keepLines w:val="0"/>
      <w:numPr>
        <w:ilvl w:val="2"/>
      </w:numPr>
      <w:tabs>
        <w:tab w:val="left" w:pos="9356"/>
      </w:tabs>
      <w:spacing w:after="120"/>
      <w:ind w:left="811" w:right="51" w:hanging="811"/>
      <w:outlineLvl w:val="9"/>
    </w:pPr>
    <w:rPr>
      <w:b w:val="0"/>
      <w:bCs w:val="0"/>
      <w:color w:val="auto"/>
      <w:sz w:val="24"/>
      <w:szCs w:val="14"/>
    </w:rPr>
  </w:style>
  <w:style w:type="paragraph" w:styleId="Revision">
    <w:name w:val="Revision"/>
    <w:hidden/>
    <w:uiPriority w:val="99"/>
    <w:semiHidden/>
    <w:rsid w:val="008129C3"/>
    <w:rPr>
      <w:kern w:val="18"/>
    </w:rPr>
  </w:style>
  <w:style w:type="paragraph" w:customStyle="1" w:styleId="Figure">
    <w:name w:val="Figure"/>
    <w:basedOn w:val="BodyText"/>
    <w:link w:val="FigureChar"/>
    <w:autoRedefine/>
    <w:uiPriority w:val="1"/>
    <w:qFormat/>
    <w:rsid w:val="008129C3"/>
    <w:pPr>
      <w:spacing w:before="60" w:line="276" w:lineRule="auto"/>
    </w:pPr>
    <w:rPr>
      <w:rFonts w:ascii="Arial" w:eastAsia="Times New Roman" w:hAnsi="Arial" w:cs="Arial"/>
      <w:b/>
      <w:color w:val="000000"/>
      <w:sz w:val="20"/>
      <w:szCs w:val="22"/>
      <w:lang w:val="en-US" w:eastAsia="en-GB"/>
    </w:rPr>
  </w:style>
  <w:style w:type="character" w:customStyle="1" w:styleId="FigureChar">
    <w:name w:val="Figure Char"/>
    <w:basedOn w:val="BodyTextChar"/>
    <w:link w:val="Figure"/>
    <w:uiPriority w:val="1"/>
    <w:rsid w:val="008129C3"/>
    <w:rPr>
      <w:rFonts w:ascii="Arial" w:eastAsia="Times New Roman" w:hAnsi="Arial" w:cs="Arial"/>
      <w:b/>
      <w:color w:val="000000"/>
      <w:kern w:val="18"/>
      <w:sz w:val="20"/>
      <w:szCs w:val="22"/>
      <w:lang w:val="en-US" w:eastAsia="en-GB"/>
    </w:rPr>
  </w:style>
  <w:style w:type="paragraph" w:customStyle="1" w:styleId="2BodyText">
    <w:name w:val="2 BodyText"/>
    <w:basedOn w:val="Normal"/>
    <w:rsid w:val="008129C3"/>
    <w:pPr>
      <w:tabs>
        <w:tab w:val="clear" w:pos="284"/>
      </w:tabs>
      <w:spacing w:before="60" w:after="240" w:line="276" w:lineRule="auto"/>
    </w:pPr>
    <w:rPr>
      <w:rFonts w:ascii="Arial" w:eastAsia="Times New Roman" w:hAnsi="Arial" w:cs="Times New Roman"/>
      <w:color w:val="000000"/>
      <w:kern w:val="0"/>
      <w:sz w:val="16"/>
      <w:szCs w:val="26"/>
      <w:lang w:val="en-US" w:eastAsia="en-GB"/>
    </w:rPr>
  </w:style>
  <w:style w:type="paragraph" w:customStyle="1" w:styleId="Default">
    <w:name w:val="Default"/>
    <w:rsid w:val="008129C3"/>
    <w:pPr>
      <w:autoSpaceDE w:val="0"/>
      <w:autoSpaceDN w:val="0"/>
      <w:adjustRightInd w:val="0"/>
    </w:pPr>
    <w:rPr>
      <w:rFonts w:ascii="Arial" w:hAnsi="Arial" w:cs="Arial"/>
      <w:color w:val="000000"/>
      <w:sz w:val="24"/>
      <w:szCs w:val="24"/>
    </w:rPr>
  </w:style>
  <w:style w:type="table" w:customStyle="1" w:styleId="AECOMtable1">
    <w:name w:val="AECOM table1"/>
    <w:basedOn w:val="TableNormal"/>
    <w:uiPriority w:val="99"/>
    <w:unhideWhenUsed/>
    <w:rsid w:val="008129C3"/>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8768" w:themeColor="accent1"/>
        <w:sz w:val="16"/>
      </w:rPr>
      <w:tblPr/>
      <w:tcPr>
        <w:tcBorders>
          <w:top w:val="nil"/>
          <w:left w:val="nil"/>
          <w:bottom w:val="single" w:sz="12" w:space="0" w:color="008768" w:themeColor="accent1"/>
          <w:right w:val="nil"/>
          <w:insideH w:val="nil"/>
          <w:insideV w:val="nil"/>
          <w:tl2br w:val="nil"/>
          <w:tr2bl w:val="nil"/>
        </w:tcBorders>
      </w:tcPr>
    </w:tblStylePr>
  </w:style>
  <w:style w:type="table" w:customStyle="1" w:styleId="TableGrid10">
    <w:name w:val="Table Grid1"/>
    <w:basedOn w:val="TableNormal"/>
    <w:next w:val="TableGrid"/>
    <w:uiPriority w:val="59"/>
    <w:unhideWhenUsed/>
    <w:rsid w:val="008129C3"/>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table" w:customStyle="1" w:styleId="Style11">
    <w:name w:val="Style11"/>
    <w:basedOn w:val="TableNormal"/>
    <w:uiPriority w:val="99"/>
    <w:rsid w:val="008129C3"/>
    <w:pPr>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tblPr/>
      <w:tcPr>
        <w:shd w:val="clear" w:color="auto" w:fill="000000"/>
      </w:tcPr>
    </w:tblStylePr>
  </w:style>
  <w:style w:type="character" w:customStyle="1" w:styleId="Hyperlink1">
    <w:name w:val="Hyperlink1"/>
    <w:basedOn w:val="DefaultParagraphFont"/>
    <w:uiPriority w:val="99"/>
    <w:qFormat/>
    <w:rsid w:val="008129C3"/>
    <w:rPr>
      <w:color w:val="00B5E2"/>
      <w:u w:val="single"/>
    </w:rPr>
  </w:style>
  <w:style w:type="table" w:customStyle="1" w:styleId="TableGrid20">
    <w:name w:val="Table Grid2"/>
    <w:basedOn w:val="TableNormal"/>
    <w:next w:val="TableGrid"/>
    <w:uiPriority w:val="59"/>
    <w:unhideWhenUsed/>
    <w:rsid w:val="008129C3"/>
    <w:rPr>
      <w:rFonts w:eastAsia="SimSun"/>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character" w:customStyle="1" w:styleId="FootnoteReference1">
    <w:name w:val="Footnote Reference1"/>
    <w:basedOn w:val="DefaultParagraphFont"/>
    <w:uiPriority w:val="99"/>
    <w:unhideWhenUsed/>
    <w:rsid w:val="008129C3"/>
    <w:rPr>
      <w:rFonts w:ascii="Calibri Light" w:hAnsi="Calibri Light"/>
      <w:color w:val="auto"/>
      <w:vertAlign w:val="superscript"/>
    </w:rPr>
  </w:style>
  <w:style w:type="table" w:customStyle="1" w:styleId="ListTable31">
    <w:name w:val="List Table 31"/>
    <w:basedOn w:val="TableNormal"/>
    <w:uiPriority w:val="48"/>
    <w:rsid w:val="008129C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21">
    <w:name w:val="Table Grid21"/>
    <w:basedOn w:val="TableNormal"/>
    <w:next w:val="TableGrid"/>
    <w:uiPriority w:val="59"/>
    <w:unhideWhenUsed/>
    <w:rsid w:val="008129C3"/>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paragraph" w:customStyle="1" w:styleId="BoldBodyText">
    <w:name w:val="Bold Body Text"/>
    <w:basedOn w:val="BodyText"/>
    <w:link w:val="BoldBodyTextChar"/>
    <w:uiPriority w:val="1"/>
    <w:qFormat/>
    <w:rsid w:val="008129C3"/>
    <w:pPr>
      <w:spacing w:before="60" w:line="276" w:lineRule="auto"/>
    </w:pPr>
    <w:rPr>
      <w:rFonts w:ascii="Arial" w:eastAsia="Times New Roman" w:hAnsi="Arial" w:cs="Arial"/>
      <w:b/>
      <w:color w:val="000000"/>
      <w:sz w:val="16"/>
      <w:szCs w:val="22"/>
      <w:lang w:val="en" w:eastAsia="en-GB"/>
    </w:rPr>
  </w:style>
  <w:style w:type="character" w:customStyle="1" w:styleId="BoldBodyTextChar">
    <w:name w:val="Bold Body Text Char"/>
    <w:basedOn w:val="BodyTextChar"/>
    <w:link w:val="BoldBodyText"/>
    <w:uiPriority w:val="1"/>
    <w:rsid w:val="008129C3"/>
    <w:rPr>
      <w:rFonts w:ascii="Arial" w:eastAsia="Times New Roman" w:hAnsi="Arial" w:cs="Arial"/>
      <w:b/>
      <w:color w:val="000000"/>
      <w:kern w:val="18"/>
      <w:sz w:val="16"/>
      <w:szCs w:val="22"/>
      <w:lang w:val="en" w:eastAsia="en-GB"/>
    </w:rPr>
  </w:style>
  <w:style w:type="paragraph" w:customStyle="1" w:styleId="UnderlineBodyText">
    <w:name w:val="Underline Body Text"/>
    <w:basedOn w:val="BodyText"/>
    <w:link w:val="UnderlineBodyTextChar"/>
    <w:uiPriority w:val="1"/>
    <w:qFormat/>
    <w:rsid w:val="008129C3"/>
    <w:pPr>
      <w:spacing w:before="60" w:line="276" w:lineRule="auto"/>
    </w:pPr>
    <w:rPr>
      <w:rFonts w:ascii="Arial" w:eastAsia="Times New Roman" w:hAnsi="Arial" w:cs="Arial"/>
      <w:color w:val="000000"/>
      <w:sz w:val="16"/>
      <w:szCs w:val="22"/>
      <w:u w:val="single"/>
      <w:lang w:eastAsia="en-GB"/>
    </w:rPr>
  </w:style>
  <w:style w:type="paragraph" w:customStyle="1" w:styleId="ItalicsBodyText">
    <w:name w:val="Italics Body Text"/>
    <w:basedOn w:val="BodyText"/>
    <w:link w:val="ItalicsBodyTextChar"/>
    <w:uiPriority w:val="1"/>
    <w:qFormat/>
    <w:rsid w:val="008129C3"/>
    <w:pPr>
      <w:spacing w:before="60" w:line="276" w:lineRule="auto"/>
    </w:pPr>
    <w:rPr>
      <w:rFonts w:ascii="Arial" w:eastAsia="Times New Roman" w:hAnsi="Arial" w:cs="Arial"/>
      <w:i/>
      <w:color w:val="000000"/>
      <w:sz w:val="16"/>
      <w:szCs w:val="22"/>
      <w:lang w:eastAsia="en-GB"/>
    </w:rPr>
  </w:style>
  <w:style w:type="character" w:customStyle="1" w:styleId="UnderlineBodyTextChar">
    <w:name w:val="Underline Body Text Char"/>
    <w:basedOn w:val="BodyTextChar"/>
    <w:link w:val="UnderlineBodyText"/>
    <w:uiPriority w:val="1"/>
    <w:rsid w:val="008129C3"/>
    <w:rPr>
      <w:rFonts w:ascii="Arial" w:eastAsia="Times New Roman" w:hAnsi="Arial" w:cs="Arial"/>
      <w:color w:val="000000"/>
      <w:kern w:val="18"/>
      <w:sz w:val="16"/>
      <w:szCs w:val="22"/>
      <w:u w:val="single"/>
      <w:lang w:eastAsia="en-GB"/>
    </w:rPr>
  </w:style>
  <w:style w:type="character" w:customStyle="1" w:styleId="ItalicsBodyTextChar">
    <w:name w:val="Italics Body Text Char"/>
    <w:basedOn w:val="BodyTextChar"/>
    <w:link w:val="ItalicsBodyText"/>
    <w:uiPriority w:val="1"/>
    <w:rsid w:val="008129C3"/>
    <w:rPr>
      <w:rFonts w:ascii="Arial" w:eastAsia="Times New Roman" w:hAnsi="Arial" w:cs="Arial"/>
      <w:i/>
      <w:color w:val="000000"/>
      <w:kern w:val="18"/>
      <w:sz w:val="16"/>
      <w:szCs w:val="22"/>
      <w:lang w:eastAsia="en-GB"/>
    </w:rPr>
  </w:style>
  <w:style w:type="character" w:customStyle="1" w:styleId="UnresolvedMention1">
    <w:name w:val="Unresolved Mention1"/>
    <w:basedOn w:val="DefaultParagraphFont"/>
    <w:uiPriority w:val="99"/>
    <w:semiHidden/>
    <w:unhideWhenUsed/>
    <w:rsid w:val="008129C3"/>
    <w:rPr>
      <w:color w:val="605E5C"/>
      <w:shd w:val="clear" w:color="auto" w:fill="E1DFDD"/>
    </w:rPr>
  </w:style>
  <w:style w:type="character" w:customStyle="1" w:styleId="SourceChar">
    <w:name w:val="Source Char"/>
    <w:basedOn w:val="DefaultParagraphFont"/>
    <w:link w:val="Source"/>
    <w:rsid w:val="00CC131A"/>
    <w:rPr>
      <w:i/>
      <w:kern w:val="18"/>
      <w:szCs w:val="12"/>
    </w:rPr>
  </w:style>
  <w:style w:type="table" w:customStyle="1" w:styleId="Style1">
    <w:name w:val="Style1"/>
    <w:basedOn w:val="TableNormal"/>
    <w:uiPriority w:val="99"/>
    <w:rsid w:val="008129C3"/>
    <w:pPr>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tblPr/>
      <w:tcPr>
        <w:shd w:val="clear" w:color="auto" w:fill="000000" w:themeFill="text1"/>
      </w:tcPr>
    </w:tblStylePr>
  </w:style>
  <w:style w:type="table" w:customStyle="1" w:styleId="TableGrid30">
    <w:name w:val="Table Grid3"/>
    <w:basedOn w:val="TableNormal"/>
    <w:next w:val="TableGrid"/>
    <w:uiPriority w:val="59"/>
    <w:unhideWhenUsed/>
    <w:rsid w:val="008129C3"/>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character" w:customStyle="1" w:styleId="UnresolvedMention2">
    <w:name w:val="Unresolved Mention2"/>
    <w:basedOn w:val="DefaultParagraphFont"/>
    <w:uiPriority w:val="99"/>
    <w:semiHidden/>
    <w:unhideWhenUsed/>
    <w:rsid w:val="008129C3"/>
    <w:rPr>
      <w:color w:val="605E5C"/>
      <w:shd w:val="clear" w:color="auto" w:fill="E1DFDD"/>
    </w:rPr>
  </w:style>
  <w:style w:type="numbering" w:customStyle="1" w:styleId="NoList1">
    <w:name w:val="No List1"/>
    <w:next w:val="NoList"/>
    <w:uiPriority w:val="99"/>
    <w:semiHidden/>
    <w:unhideWhenUsed/>
    <w:rsid w:val="008129C3"/>
  </w:style>
  <w:style w:type="numbering" w:customStyle="1" w:styleId="AECOMBullets1">
    <w:name w:val="AECOM_Bullets1"/>
    <w:basedOn w:val="NoList"/>
    <w:uiPriority w:val="99"/>
    <w:semiHidden/>
    <w:unhideWhenUsed/>
    <w:rsid w:val="008129C3"/>
  </w:style>
  <w:style w:type="numbering" w:customStyle="1" w:styleId="AECOMList1">
    <w:name w:val="AECOM_List1"/>
    <w:basedOn w:val="NoList"/>
    <w:uiPriority w:val="99"/>
    <w:semiHidden/>
    <w:unhideWhenUsed/>
    <w:rsid w:val="008129C3"/>
  </w:style>
  <w:style w:type="table" w:customStyle="1" w:styleId="TableGrid40">
    <w:name w:val="Table Grid4"/>
    <w:basedOn w:val="TableNormal"/>
    <w:next w:val="TableGrid"/>
    <w:uiPriority w:val="59"/>
    <w:unhideWhenUsed/>
    <w:rsid w:val="008129C3"/>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AECOMtable2">
    <w:name w:val="AECOM table2"/>
    <w:basedOn w:val="TableNormal"/>
    <w:uiPriority w:val="99"/>
    <w:unhideWhenUsed/>
    <w:rsid w:val="008129C3"/>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8768" w:themeColor="accent1"/>
        <w:sz w:val="16"/>
      </w:rPr>
      <w:tblPr/>
      <w:tcPr>
        <w:tcBorders>
          <w:top w:val="nil"/>
          <w:left w:val="nil"/>
          <w:bottom w:val="single" w:sz="12" w:space="0" w:color="008768" w:themeColor="accent1"/>
          <w:right w:val="nil"/>
          <w:insideH w:val="nil"/>
          <w:insideV w:val="nil"/>
          <w:tl2br w:val="nil"/>
          <w:tr2bl w:val="nil"/>
        </w:tcBorders>
      </w:tcPr>
    </w:tblStylePr>
  </w:style>
  <w:style w:type="table" w:customStyle="1" w:styleId="ColorfulGrid1">
    <w:name w:val="Colorful Grid1"/>
    <w:basedOn w:val="TableNormal"/>
    <w:next w:val="ColourfulGrid"/>
    <w:uiPriority w:val="73"/>
    <w:semiHidden/>
    <w:unhideWhenUsed/>
    <w:rsid w:val="008129C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1">
    <w:name w:val="Colorful Grid - Accent 11"/>
    <w:basedOn w:val="TableNormal"/>
    <w:next w:val="ColourfulGridAccent1"/>
    <w:uiPriority w:val="73"/>
    <w:semiHidden/>
    <w:unhideWhenUsed/>
    <w:rsid w:val="008129C3"/>
    <w:rPr>
      <w:color w:val="000000" w:themeColor="text1"/>
    </w:rPr>
    <w:tblPr>
      <w:tblStyleRowBandSize w:val="1"/>
      <w:tblStyleColBandSize w:val="1"/>
      <w:tblBorders>
        <w:insideH w:val="single" w:sz="4" w:space="0" w:color="FFFFFF" w:themeColor="background1"/>
      </w:tblBorders>
    </w:tblPr>
    <w:tcPr>
      <w:shd w:val="clear" w:color="auto" w:fill="B4FFED" w:themeFill="accent1" w:themeFillTint="33"/>
    </w:tcPr>
    <w:tblStylePr w:type="firstRow">
      <w:rPr>
        <w:b/>
        <w:bCs/>
      </w:rPr>
      <w:tblPr/>
      <w:tcPr>
        <w:shd w:val="clear" w:color="auto" w:fill="69FFDC" w:themeFill="accent1" w:themeFillTint="66"/>
      </w:tcPr>
    </w:tblStylePr>
    <w:tblStylePr w:type="lastRow">
      <w:rPr>
        <w:b/>
        <w:bCs/>
        <w:color w:val="000000" w:themeColor="text1"/>
      </w:rPr>
      <w:tblPr/>
      <w:tcPr>
        <w:shd w:val="clear" w:color="auto" w:fill="69FFDC" w:themeFill="accent1" w:themeFillTint="66"/>
      </w:tcPr>
    </w:tblStylePr>
    <w:tblStylePr w:type="firstCol">
      <w:rPr>
        <w:color w:val="FFFFFF" w:themeColor="background1"/>
      </w:rPr>
      <w:tblPr/>
      <w:tcPr>
        <w:shd w:val="clear" w:color="auto" w:fill="00654D" w:themeFill="accent1" w:themeFillShade="BF"/>
      </w:tcPr>
    </w:tblStylePr>
    <w:tblStylePr w:type="lastCol">
      <w:rPr>
        <w:color w:val="FFFFFF" w:themeColor="background1"/>
      </w:rPr>
      <w:tblPr/>
      <w:tcPr>
        <w:shd w:val="clear" w:color="auto" w:fill="00654D" w:themeFill="accent1" w:themeFillShade="BF"/>
      </w:tcPr>
    </w:tblStylePr>
    <w:tblStylePr w:type="band1Vert">
      <w:tblPr/>
      <w:tcPr>
        <w:shd w:val="clear" w:color="auto" w:fill="44FFD3" w:themeFill="accent1" w:themeFillTint="7F"/>
      </w:tcPr>
    </w:tblStylePr>
    <w:tblStylePr w:type="band1Horz">
      <w:tblPr/>
      <w:tcPr>
        <w:shd w:val="clear" w:color="auto" w:fill="44FFD3" w:themeFill="accent1" w:themeFillTint="7F"/>
      </w:tcPr>
    </w:tblStylePr>
  </w:style>
  <w:style w:type="table" w:customStyle="1" w:styleId="ColorfulGrid-Accent21">
    <w:name w:val="Colorful Grid - Accent 21"/>
    <w:basedOn w:val="TableNormal"/>
    <w:next w:val="ColourfulGridAccent2"/>
    <w:uiPriority w:val="73"/>
    <w:semiHidden/>
    <w:unhideWhenUsed/>
    <w:rsid w:val="008129C3"/>
    <w:rPr>
      <w:color w:val="000000" w:themeColor="text1"/>
    </w:rPr>
    <w:tblPr>
      <w:tblStyleRowBandSize w:val="1"/>
      <w:tblStyleColBandSize w:val="1"/>
      <w:tblBorders>
        <w:insideH w:val="single" w:sz="4" w:space="0" w:color="FFFFFF" w:themeColor="background1"/>
      </w:tblBorders>
    </w:tblPr>
    <w:tcPr>
      <w:shd w:val="clear" w:color="auto" w:fill="A5F1FF" w:themeFill="accent2" w:themeFillTint="33"/>
    </w:tcPr>
    <w:tblStylePr w:type="firstRow">
      <w:rPr>
        <w:b/>
        <w:bCs/>
      </w:rPr>
      <w:tblPr/>
      <w:tcPr>
        <w:shd w:val="clear" w:color="auto" w:fill="4BE4FF" w:themeFill="accent2" w:themeFillTint="66"/>
      </w:tcPr>
    </w:tblStylePr>
    <w:tblStylePr w:type="lastRow">
      <w:rPr>
        <w:b/>
        <w:bCs/>
        <w:color w:val="000000" w:themeColor="text1"/>
      </w:rPr>
      <w:tblPr/>
      <w:tcPr>
        <w:shd w:val="clear" w:color="auto" w:fill="4BE4FF" w:themeFill="accent2" w:themeFillTint="66"/>
      </w:tcPr>
    </w:tblStylePr>
    <w:tblStylePr w:type="firstCol">
      <w:rPr>
        <w:color w:val="FFFFFF" w:themeColor="background1"/>
      </w:rPr>
      <w:tblPr/>
      <w:tcPr>
        <w:shd w:val="clear" w:color="auto" w:fill="00272E" w:themeFill="accent2" w:themeFillShade="BF"/>
      </w:tcPr>
    </w:tblStylePr>
    <w:tblStylePr w:type="lastCol">
      <w:rPr>
        <w:color w:val="FFFFFF" w:themeColor="background1"/>
      </w:rPr>
      <w:tblPr/>
      <w:tcPr>
        <w:shd w:val="clear" w:color="auto" w:fill="00272E" w:themeFill="accent2" w:themeFillShade="BF"/>
      </w:tcPr>
    </w:tblStylePr>
    <w:tblStylePr w:type="band1Vert">
      <w:tblPr/>
      <w:tcPr>
        <w:shd w:val="clear" w:color="auto" w:fill="1FDDFF" w:themeFill="accent2" w:themeFillTint="7F"/>
      </w:tcPr>
    </w:tblStylePr>
    <w:tblStylePr w:type="band1Horz">
      <w:tblPr/>
      <w:tcPr>
        <w:shd w:val="clear" w:color="auto" w:fill="1FDDFF" w:themeFill="accent2" w:themeFillTint="7F"/>
      </w:tcPr>
    </w:tblStylePr>
  </w:style>
  <w:style w:type="table" w:customStyle="1" w:styleId="ColorfulGrid-Accent31">
    <w:name w:val="Colorful Grid - Accent 31"/>
    <w:basedOn w:val="TableNormal"/>
    <w:next w:val="ColourfulGridAccent3"/>
    <w:uiPriority w:val="73"/>
    <w:semiHidden/>
    <w:unhideWhenUsed/>
    <w:rsid w:val="008129C3"/>
    <w:rPr>
      <w:color w:val="000000" w:themeColor="text1"/>
    </w:rPr>
    <w:tblPr>
      <w:tblStyleRowBandSize w:val="1"/>
      <w:tblStyleColBandSize w:val="1"/>
      <w:tblBorders>
        <w:insideH w:val="single" w:sz="4" w:space="0" w:color="FFFFFF" w:themeColor="background1"/>
      </w:tblBorders>
    </w:tblPr>
    <w:tcPr>
      <w:shd w:val="clear" w:color="auto" w:fill="EEF4DC" w:themeFill="accent3" w:themeFillTint="33"/>
    </w:tcPr>
    <w:tblStylePr w:type="firstRow">
      <w:rPr>
        <w:b/>
        <w:bCs/>
      </w:rPr>
      <w:tblPr/>
      <w:tcPr>
        <w:shd w:val="clear" w:color="auto" w:fill="DEEABA" w:themeFill="accent3" w:themeFillTint="66"/>
      </w:tcPr>
    </w:tblStylePr>
    <w:tblStylePr w:type="lastRow">
      <w:rPr>
        <w:b/>
        <w:bCs/>
        <w:color w:val="000000" w:themeColor="text1"/>
      </w:rPr>
      <w:tblPr/>
      <w:tcPr>
        <w:shd w:val="clear" w:color="auto" w:fill="DEEABA" w:themeFill="accent3" w:themeFillTint="66"/>
      </w:tcPr>
    </w:tblStylePr>
    <w:tblStylePr w:type="firstCol">
      <w:rPr>
        <w:color w:val="FFFFFF" w:themeColor="background1"/>
      </w:rPr>
      <w:tblPr/>
      <w:tcPr>
        <w:shd w:val="clear" w:color="auto" w:fill="88A531" w:themeFill="accent3" w:themeFillShade="BF"/>
      </w:tcPr>
    </w:tblStylePr>
    <w:tblStylePr w:type="lastCol">
      <w:rPr>
        <w:color w:val="FFFFFF" w:themeColor="background1"/>
      </w:rPr>
      <w:tblPr/>
      <w:tcPr>
        <w:shd w:val="clear" w:color="auto" w:fill="88A531" w:themeFill="accent3" w:themeFillShade="BF"/>
      </w:tcPr>
    </w:tblStylePr>
    <w:tblStylePr w:type="band1Vert">
      <w:tblPr/>
      <w:tcPr>
        <w:shd w:val="clear" w:color="auto" w:fill="D6E5A9" w:themeFill="accent3" w:themeFillTint="7F"/>
      </w:tcPr>
    </w:tblStylePr>
    <w:tblStylePr w:type="band1Horz">
      <w:tblPr/>
      <w:tcPr>
        <w:shd w:val="clear" w:color="auto" w:fill="D6E5A9" w:themeFill="accent3" w:themeFillTint="7F"/>
      </w:tcPr>
    </w:tblStylePr>
  </w:style>
  <w:style w:type="table" w:customStyle="1" w:styleId="ColorfulGrid-Accent41">
    <w:name w:val="Colorful Grid - Accent 41"/>
    <w:basedOn w:val="TableNormal"/>
    <w:next w:val="ColourfulGridAccent4"/>
    <w:uiPriority w:val="73"/>
    <w:semiHidden/>
    <w:unhideWhenUsed/>
    <w:rsid w:val="008129C3"/>
    <w:rPr>
      <w:color w:val="000000" w:themeColor="text1"/>
    </w:rPr>
    <w:tblPr>
      <w:tblStyleRowBandSize w:val="1"/>
      <w:tblStyleColBandSize w:val="1"/>
      <w:tblBorders>
        <w:insideH w:val="single" w:sz="4" w:space="0" w:color="FFFFFF" w:themeColor="background1"/>
      </w:tblBorders>
    </w:tblPr>
    <w:tcPr>
      <w:shd w:val="clear" w:color="auto" w:fill="FBD2CE" w:themeFill="accent4" w:themeFillTint="33"/>
    </w:tcPr>
    <w:tblStylePr w:type="firstRow">
      <w:rPr>
        <w:b/>
        <w:bCs/>
      </w:rPr>
      <w:tblPr/>
      <w:tcPr>
        <w:shd w:val="clear" w:color="auto" w:fill="F7A69E" w:themeFill="accent4" w:themeFillTint="66"/>
      </w:tcPr>
    </w:tblStylePr>
    <w:tblStylePr w:type="lastRow">
      <w:rPr>
        <w:b/>
        <w:bCs/>
        <w:color w:val="000000" w:themeColor="text1"/>
      </w:rPr>
      <w:tblPr/>
      <w:tcPr>
        <w:shd w:val="clear" w:color="auto" w:fill="F7A69E" w:themeFill="accent4" w:themeFillTint="66"/>
      </w:tcPr>
    </w:tblStylePr>
    <w:tblStylePr w:type="firstCol">
      <w:rPr>
        <w:color w:val="FFFFFF" w:themeColor="background1"/>
      </w:rPr>
      <w:tblPr/>
      <w:tcPr>
        <w:shd w:val="clear" w:color="auto" w:fill="AB1D0E" w:themeFill="accent4" w:themeFillShade="BF"/>
      </w:tcPr>
    </w:tblStylePr>
    <w:tblStylePr w:type="lastCol">
      <w:rPr>
        <w:color w:val="FFFFFF" w:themeColor="background1"/>
      </w:rPr>
      <w:tblPr/>
      <w:tcPr>
        <w:shd w:val="clear" w:color="auto" w:fill="AB1D0E" w:themeFill="accent4" w:themeFillShade="BF"/>
      </w:tcPr>
    </w:tblStylePr>
    <w:tblStylePr w:type="band1Vert">
      <w:tblPr/>
      <w:tcPr>
        <w:shd w:val="clear" w:color="auto" w:fill="F59086" w:themeFill="accent4" w:themeFillTint="7F"/>
      </w:tcPr>
    </w:tblStylePr>
    <w:tblStylePr w:type="band1Horz">
      <w:tblPr/>
      <w:tcPr>
        <w:shd w:val="clear" w:color="auto" w:fill="F59086" w:themeFill="accent4" w:themeFillTint="7F"/>
      </w:tcPr>
    </w:tblStylePr>
  </w:style>
  <w:style w:type="table" w:customStyle="1" w:styleId="ColorfulGrid-Accent51">
    <w:name w:val="Colorful Grid - Accent 51"/>
    <w:basedOn w:val="TableNormal"/>
    <w:next w:val="ColourfulGridAccent5"/>
    <w:uiPriority w:val="73"/>
    <w:semiHidden/>
    <w:unhideWhenUsed/>
    <w:rsid w:val="008129C3"/>
    <w:rPr>
      <w:color w:val="000000" w:themeColor="text1"/>
    </w:rPr>
    <w:tblPr>
      <w:tblStyleRowBandSize w:val="1"/>
      <w:tblStyleColBandSize w:val="1"/>
      <w:tblBorders>
        <w:insideH w:val="single" w:sz="4" w:space="0" w:color="FFFFFF" w:themeColor="background1"/>
      </w:tblBorders>
    </w:tblPr>
    <w:tcPr>
      <w:shd w:val="clear" w:color="auto" w:fill="B8FEFF" w:themeFill="accent5" w:themeFillTint="33"/>
    </w:tcPr>
    <w:tblStylePr w:type="firstRow">
      <w:rPr>
        <w:b/>
        <w:bCs/>
      </w:rPr>
      <w:tblPr/>
      <w:tcPr>
        <w:shd w:val="clear" w:color="auto" w:fill="71FDFF" w:themeFill="accent5" w:themeFillTint="66"/>
      </w:tcPr>
    </w:tblStylePr>
    <w:tblStylePr w:type="lastRow">
      <w:rPr>
        <w:b/>
        <w:bCs/>
        <w:color w:val="000000" w:themeColor="text1"/>
      </w:rPr>
      <w:tblPr/>
      <w:tcPr>
        <w:shd w:val="clear" w:color="auto" w:fill="71FDFF" w:themeFill="accent5" w:themeFillTint="66"/>
      </w:tcPr>
    </w:tblStylePr>
    <w:tblStylePr w:type="firstCol">
      <w:rPr>
        <w:color w:val="FFFFFF" w:themeColor="background1"/>
      </w:rPr>
      <w:tblPr/>
      <w:tcPr>
        <w:shd w:val="clear" w:color="auto" w:fill="007374" w:themeFill="accent5" w:themeFillShade="BF"/>
      </w:tcPr>
    </w:tblStylePr>
    <w:tblStylePr w:type="lastCol">
      <w:rPr>
        <w:color w:val="FFFFFF" w:themeColor="background1"/>
      </w:rPr>
      <w:tblPr/>
      <w:tcPr>
        <w:shd w:val="clear" w:color="auto" w:fill="007374" w:themeFill="accent5" w:themeFillShade="BF"/>
      </w:tcPr>
    </w:tblStylePr>
    <w:tblStylePr w:type="band1Vert">
      <w:tblPr/>
      <w:tcPr>
        <w:shd w:val="clear" w:color="auto" w:fill="4EFDFF" w:themeFill="accent5" w:themeFillTint="7F"/>
      </w:tcPr>
    </w:tblStylePr>
    <w:tblStylePr w:type="band1Horz">
      <w:tblPr/>
      <w:tcPr>
        <w:shd w:val="clear" w:color="auto" w:fill="4EFDFF" w:themeFill="accent5" w:themeFillTint="7F"/>
      </w:tcPr>
    </w:tblStylePr>
  </w:style>
  <w:style w:type="table" w:customStyle="1" w:styleId="ColorfulGrid-Accent61">
    <w:name w:val="Colorful Grid - Accent 61"/>
    <w:basedOn w:val="TableNormal"/>
    <w:next w:val="ColourfulGridAccent6"/>
    <w:uiPriority w:val="73"/>
    <w:semiHidden/>
    <w:unhideWhenUsed/>
    <w:rsid w:val="008129C3"/>
    <w:rPr>
      <w:color w:val="000000" w:themeColor="text1"/>
    </w:rPr>
    <w:tblPr>
      <w:tblStyleRowBandSize w:val="1"/>
      <w:tblStyleColBandSize w:val="1"/>
      <w:tblBorders>
        <w:insideH w:val="single" w:sz="4" w:space="0" w:color="FFFFFF" w:themeColor="background1"/>
      </w:tblBorders>
    </w:tblPr>
    <w:tcPr>
      <w:shd w:val="clear" w:color="auto" w:fill="FFF5CC" w:themeFill="accent6" w:themeFillTint="33"/>
    </w:tcPr>
    <w:tblStylePr w:type="firstRow">
      <w:rPr>
        <w:b/>
        <w:bCs/>
      </w:rPr>
      <w:tblPr/>
      <w:tcPr>
        <w:shd w:val="clear" w:color="auto" w:fill="FFEB99" w:themeFill="accent6" w:themeFillTint="66"/>
      </w:tcPr>
    </w:tblStylePr>
    <w:tblStylePr w:type="lastRow">
      <w:rPr>
        <w:b/>
        <w:bCs/>
        <w:color w:val="000000" w:themeColor="text1"/>
      </w:rPr>
      <w:tblPr/>
      <w:tcPr>
        <w:shd w:val="clear" w:color="auto" w:fill="FFEB99" w:themeFill="accent6" w:themeFillTint="66"/>
      </w:tcPr>
    </w:tblStylePr>
    <w:tblStylePr w:type="firstCol">
      <w:rPr>
        <w:color w:val="FFFFFF" w:themeColor="background1"/>
      </w:rPr>
      <w:tblPr/>
      <w:tcPr>
        <w:shd w:val="clear" w:color="auto" w:fill="BF9A00" w:themeFill="accent6" w:themeFillShade="BF"/>
      </w:tcPr>
    </w:tblStylePr>
    <w:tblStylePr w:type="lastCol">
      <w:rPr>
        <w:color w:val="FFFFFF" w:themeColor="background1"/>
      </w:rPr>
      <w:tblPr/>
      <w:tcPr>
        <w:shd w:val="clear" w:color="auto" w:fill="BF9A00" w:themeFill="accent6" w:themeFillShade="BF"/>
      </w:tcPr>
    </w:tblStylePr>
    <w:tblStylePr w:type="band1Vert">
      <w:tblPr/>
      <w:tcPr>
        <w:shd w:val="clear" w:color="auto" w:fill="FFE680" w:themeFill="accent6" w:themeFillTint="7F"/>
      </w:tcPr>
    </w:tblStylePr>
    <w:tblStylePr w:type="band1Horz">
      <w:tblPr/>
      <w:tcPr>
        <w:shd w:val="clear" w:color="auto" w:fill="FFE680" w:themeFill="accent6" w:themeFillTint="7F"/>
      </w:tcPr>
    </w:tblStylePr>
  </w:style>
  <w:style w:type="table" w:customStyle="1" w:styleId="ColorfulList1">
    <w:name w:val="Colorful List1"/>
    <w:basedOn w:val="TableNormal"/>
    <w:next w:val="ColourfulList"/>
    <w:uiPriority w:val="72"/>
    <w:semiHidden/>
    <w:unhideWhenUsed/>
    <w:rsid w:val="008129C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1">
    <w:name w:val="Colorful List - Accent 11"/>
    <w:basedOn w:val="TableNormal"/>
    <w:next w:val="ColourfulListAccent1"/>
    <w:uiPriority w:val="72"/>
    <w:semiHidden/>
    <w:unhideWhenUsed/>
    <w:rsid w:val="008129C3"/>
    <w:rPr>
      <w:color w:val="000000" w:themeColor="text1"/>
    </w:rPr>
    <w:tblPr>
      <w:tblStyleRowBandSize w:val="1"/>
      <w:tblStyleColBandSize w:val="1"/>
    </w:tblPr>
    <w:tcPr>
      <w:shd w:val="clear" w:color="auto" w:fill="DAFFF6" w:themeFill="accent1"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E9" w:themeFill="accent1" w:themeFillTint="3F"/>
      </w:tcPr>
    </w:tblStylePr>
    <w:tblStylePr w:type="band1Horz">
      <w:tblPr/>
      <w:tcPr>
        <w:shd w:val="clear" w:color="auto" w:fill="B4FFED" w:themeFill="accent1" w:themeFillTint="33"/>
      </w:tcPr>
    </w:tblStylePr>
  </w:style>
  <w:style w:type="table" w:customStyle="1" w:styleId="ColorfulList-Accent21">
    <w:name w:val="Colorful List - Accent 21"/>
    <w:basedOn w:val="TableNormal"/>
    <w:next w:val="ColourfulListAccent2"/>
    <w:uiPriority w:val="72"/>
    <w:semiHidden/>
    <w:unhideWhenUsed/>
    <w:rsid w:val="008129C3"/>
    <w:rPr>
      <w:color w:val="000000" w:themeColor="text1"/>
    </w:rPr>
    <w:tblPr>
      <w:tblStyleRowBandSize w:val="1"/>
      <w:tblStyleColBandSize w:val="1"/>
    </w:tblPr>
    <w:tcPr>
      <w:shd w:val="clear" w:color="auto" w:fill="D3F8FF" w:themeFill="accent2" w:themeFillTint="19"/>
    </w:tcPr>
    <w:tblStylePr w:type="firstRow">
      <w:rPr>
        <w:b/>
        <w:bCs/>
        <w:color w:val="FFFFFF" w:themeColor="background1"/>
      </w:rPr>
      <w:tblPr/>
      <w:tcPr>
        <w:tcBorders>
          <w:bottom w:val="single" w:sz="12" w:space="0" w:color="FFFFFF" w:themeColor="background1"/>
        </w:tcBorders>
        <w:shd w:val="clear" w:color="auto" w:fill="002931" w:themeFill="accent2" w:themeFillShade="CC"/>
      </w:tcPr>
    </w:tblStylePr>
    <w:tblStylePr w:type="lastRow">
      <w:rPr>
        <w:b/>
        <w:bCs/>
        <w:color w:val="00293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EFF" w:themeFill="accent2" w:themeFillTint="3F"/>
      </w:tcPr>
    </w:tblStylePr>
    <w:tblStylePr w:type="band1Horz">
      <w:tblPr/>
      <w:tcPr>
        <w:shd w:val="clear" w:color="auto" w:fill="A5F1FF" w:themeFill="accent2" w:themeFillTint="33"/>
      </w:tcPr>
    </w:tblStylePr>
  </w:style>
  <w:style w:type="table" w:customStyle="1" w:styleId="ColorfulList-Accent31">
    <w:name w:val="Colorful List - Accent 31"/>
    <w:basedOn w:val="TableNormal"/>
    <w:next w:val="ColourfulListAccent3"/>
    <w:uiPriority w:val="72"/>
    <w:semiHidden/>
    <w:unhideWhenUsed/>
    <w:rsid w:val="008129C3"/>
    <w:rPr>
      <w:color w:val="000000" w:themeColor="text1"/>
    </w:rPr>
    <w:tblPr>
      <w:tblStyleRowBandSize w:val="1"/>
      <w:tblStyleColBandSize w:val="1"/>
    </w:tblPr>
    <w:tcPr>
      <w:shd w:val="clear" w:color="auto" w:fill="F6FAEE" w:themeFill="accent3" w:themeFillTint="19"/>
    </w:tcPr>
    <w:tblStylePr w:type="firstRow">
      <w:rPr>
        <w:b/>
        <w:bCs/>
        <w:color w:val="FFFFFF" w:themeColor="background1"/>
      </w:rPr>
      <w:tblPr/>
      <w:tcPr>
        <w:tcBorders>
          <w:bottom w:val="single" w:sz="12" w:space="0" w:color="FFFFFF" w:themeColor="background1"/>
        </w:tcBorders>
        <w:shd w:val="clear" w:color="auto" w:fill="B71F0F" w:themeFill="accent4" w:themeFillShade="CC"/>
      </w:tcPr>
    </w:tblStylePr>
    <w:tblStylePr w:type="lastRow">
      <w:rPr>
        <w:b/>
        <w:bCs/>
        <w:color w:val="B71F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2D4" w:themeFill="accent3" w:themeFillTint="3F"/>
      </w:tcPr>
    </w:tblStylePr>
    <w:tblStylePr w:type="band1Horz">
      <w:tblPr/>
      <w:tcPr>
        <w:shd w:val="clear" w:color="auto" w:fill="EEF4DC" w:themeFill="accent3" w:themeFillTint="33"/>
      </w:tcPr>
    </w:tblStylePr>
  </w:style>
  <w:style w:type="table" w:customStyle="1" w:styleId="ColorfulList-Accent41">
    <w:name w:val="Colorful List - Accent 41"/>
    <w:basedOn w:val="TableNormal"/>
    <w:next w:val="ColourfulListAccent4"/>
    <w:uiPriority w:val="72"/>
    <w:semiHidden/>
    <w:unhideWhenUsed/>
    <w:rsid w:val="008129C3"/>
    <w:rPr>
      <w:color w:val="000000" w:themeColor="text1"/>
    </w:rPr>
    <w:tblPr>
      <w:tblStyleRowBandSize w:val="1"/>
      <w:tblStyleColBandSize w:val="1"/>
    </w:tblPr>
    <w:tcPr>
      <w:shd w:val="clear" w:color="auto" w:fill="FDE8E6" w:themeFill="accent4" w:themeFillTint="19"/>
    </w:tcPr>
    <w:tblStylePr w:type="firstRow">
      <w:rPr>
        <w:b/>
        <w:bCs/>
        <w:color w:val="FFFFFF" w:themeColor="background1"/>
      </w:rPr>
      <w:tblPr/>
      <w:tcPr>
        <w:tcBorders>
          <w:bottom w:val="single" w:sz="12" w:space="0" w:color="FFFFFF" w:themeColor="background1"/>
        </w:tcBorders>
        <w:shd w:val="clear" w:color="auto" w:fill="91B034" w:themeFill="accent3" w:themeFillShade="CC"/>
      </w:tcPr>
    </w:tblStylePr>
    <w:tblStylePr w:type="lastRow">
      <w:rPr>
        <w:b/>
        <w:bCs/>
        <w:color w:val="91B03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8C2" w:themeFill="accent4" w:themeFillTint="3F"/>
      </w:tcPr>
    </w:tblStylePr>
    <w:tblStylePr w:type="band1Horz">
      <w:tblPr/>
      <w:tcPr>
        <w:shd w:val="clear" w:color="auto" w:fill="FBD2CE" w:themeFill="accent4" w:themeFillTint="33"/>
      </w:tcPr>
    </w:tblStylePr>
  </w:style>
  <w:style w:type="table" w:customStyle="1" w:styleId="ColorfulList-Accent51">
    <w:name w:val="Colorful List - Accent 51"/>
    <w:basedOn w:val="TableNormal"/>
    <w:next w:val="ColourfulListAccent5"/>
    <w:uiPriority w:val="72"/>
    <w:semiHidden/>
    <w:unhideWhenUsed/>
    <w:rsid w:val="008129C3"/>
    <w:rPr>
      <w:color w:val="000000" w:themeColor="text1"/>
    </w:rPr>
    <w:tblPr>
      <w:tblStyleRowBandSize w:val="1"/>
      <w:tblStyleColBandSize w:val="1"/>
    </w:tblPr>
    <w:tcPr>
      <w:shd w:val="clear" w:color="auto" w:fill="DCFEFF" w:themeFill="accent5" w:themeFillTint="19"/>
    </w:tcPr>
    <w:tblStylePr w:type="firstRow">
      <w:rPr>
        <w:b/>
        <w:bCs/>
        <w:color w:val="FFFFFF" w:themeColor="background1"/>
      </w:rPr>
      <w:tblPr/>
      <w:tcPr>
        <w:tcBorders>
          <w:bottom w:val="single" w:sz="12" w:space="0" w:color="FFFFFF" w:themeColor="background1"/>
        </w:tcBorders>
        <w:shd w:val="clear" w:color="auto" w:fill="CCA400" w:themeFill="accent6" w:themeFillShade="CC"/>
      </w:tcPr>
    </w:tblStylePr>
    <w:tblStylePr w:type="lastRow">
      <w:rPr>
        <w:b/>
        <w:bCs/>
        <w:color w:val="CCA4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EFF" w:themeFill="accent5" w:themeFillTint="3F"/>
      </w:tcPr>
    </w:tblStylePr>
    <w:tblStylePr w:type="band1Horz">
      <w:tblPr/>
      <w:tcPr>
        <w:shd w:val="clear" w:color="auto" w:fill="B8FEFF" w:themeFill="accent5" w:themeFillTint="33"/>
      </w:tcPr>
    </w:tblStylePr>
  </w:style>
  <w:style w:type="table" w:customStyle="1" w:styleId="ColorfulList-Accent61">
    <w:name w:val="Colorful List - Accent 61"/>
    <w:basedOn w:val="TableNormal"/>
    <w:next w:val="ColourfulListAccent6"/>
    <w:uiPriority w:val="72"/>
    <w:semiHidden/>
    <w:unhideWhenUsed/>
    <w:rsid w:val="008129C3"/>
    <w:rPr>
      <w:color w:val="000000" w:themeColor="text1"/>
    </w:rPr>
    <w:tblPr>
      <w:tblStyleRowBandSize w:val="1"/>
      <w:tblStyleColBandSize w:val="1"/>
    </w:tblPr>
    <w:tcPr>
      <w:shd w:val="clear" w:color="auto" w:fill="FFFAE6" w:themeFill="accent6" w:themeFillTint="19"/>
    </w:tcPr>
    <w:tblStylePr w:type="firstRow">
      <w:rPr>
        <w:b/>
        <w:bCs/>
        <w:color w:val="FFFFFF" w:themeColor="background1"/>
      </w:rPr>
      <w:tblPr/>
      <w:tcPr>
        <w:tcBorders>
          <w:bottom w:val="single" w:sz="12" w:space="0" w:color="FFFFFF" w:themeColor="background1"/>
        </w:tcBorders>
        <w:shd w:val="clear" w:color="auto" w:fill="007B7C" w:themeFill="accent5" w:themeFillShade="CC"/>
      </w:tcPr>
    </w:tblStylePr>
    <w:tblStylePr w:type="lastRow">
      <w:rPr>
        <w:b/>
        <w:bCs/>
        <w:color w:val="007B7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6" w:themeFillTint="3F"/>
      </w:tcPr>
    </w:tblStylePr>
    <w:tblStylePr w:type="band1Horz">
      <w:tblPr/>
      <w:tcPr>
        <w:shd w:val="clear" w:color="auto" w:fill="FFF5CC" w:themeFill="accent6" w:themeFillTint="33"/>
      </w:tcPr>
    </w:tblStylePr>
  </w:style>
  <w:style w:type="table" w:customStyle="1" w:styleId="ColorfulShading1">
    <w:name w:val="Colorful Shading1"/>
    <w:basedOn w:val="TableNormal"/>
    <w:next w:val="ColourfulShading"/>
    <w:uiPriority w:val="71"/>
    <w:semiHidden/>
    <w:unhideWhenUsed/>
    <w:rsid w:val="008129C3"/>
    <w:rPr>
      <w:color w:val="000000" w:themeColor="text1"/>
    </w:rPr>
    <w:tblPr>
      <w:tblStyleRowBandSize w:val="1"/>
      <w:tblStyleColBandSize w:val="1"/>
      <w:tblBorders>
        <w:top w:val="single" w:sz="24" w:space="0" w:color="00353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1">
    <w:name w:val="Colorful Shading - Accent 11"/>
    <w:basedOn w:val="TableNormal"/>
    <w:next w:val="ColourfulShadingAccent1"/>
    <w:uiPriority w:val="71"/>
    <w:semiHidden/>
    <w:unhideWhenUsed/>
    <w:rsid w:val="008129C3"/>
    <w:rPr>
      <w:color w:val="000000" w:themeColor="text1"/>
    </w:rPr>
    <w:tblPr>
      <w:tblStyleRowBandSize w:val="1"/>
      <w:tblStyleColBandSize w:val="1"/>
      <w:tblBorders>
        <w:top w:val="single" w:sz="24" w:space="0" w:color="00353E" w:themeColor="accent2"/>
        <w:left w:val="single" w:sz="4" w:space="0" w:color="008768" w:themeColor="accent1"/>
        <w:bottom w:val="single" w:sz="4" w:space="0" w:color="008768" w:themeColor="accent1"/>
        <w:right w:val="single" w:sz="4" w:space="0" w:color="008768" w:themeColor="accent1"/>
        <w:insideH w:val="single" w:sz="4" w:space="0" w:color="FFFFFF" w:themeColor="background1"/>
        <w:insideV w:val="single" w:sz="4" w:space="0" w:color="FFFFFF" w:themeColor="background1"/>
      </w:tblBorders>
    </w:tblPr>
    <w:tcPr>
      <w:shd w:val="clear" w:color="auto" w:fill="DAFFF6" w:themeFill="accent1"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13E" w:themeFill="accent1" w:themeFillShade="99"/>
      </w:tcPr>
    </w:tblStylePr>
    <w:tblStylePr w:type="firstCol">
      <w:rPr>
        <w:color w:val="FFFFFF" w:themeColor="background1"/>
      </w:rPr>
      <w:tblPr/>
      <w:tcPr>
        <w:tcBorders>
          <w:top w:val="nil"/>
          <w:left w:val="nil"/>
          <w:bottom w:val="nil"/>
          <w:right w:val="nil"/>
          <w:insideH w:val="single" w:sz="4" w:space="0" w:color="00513E" w:themeColor="accent1" w:themeShade="99"/>
          <w:insideV w:val="nil"/>
        </w:tcBorders>
        <w:shd w:val="clear" w:color="auto" w:fill="0051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13E" w:themeFill="accent1" w:themeFillShade="99"/>
      </w:tcPr>
    </w:tblStylePr>
    <w:tblStylePr w:type="band1Vert">
      <w:tblPr/>
      <w:tcPr>
        <w:shd w:val="clear" w:color="auto" w:fill="69FFDC" w:themeFill="accent1" w:themeFillTint="66"/>
      </w:tcPr>
    </w:tblStylePr>
    <w:tblStylePr w:type="band1Horz">
      <w:tblPr/>
      <w:tcPr>
        <w:shd w:val="clear" w:color="auto" w:fill="44FFD3"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1">
    <w:name w:val="Colorful Shading - Accent 21"/>
    <w:basedOn w:val="TableNormal"/>
    <w:next w:val="ColourfulShadingAccent2"/>
    <w:uiPriority w:val="71"/>
    <w:semiHidden/>
    <w:unhideWhenUsed/>
    <w:rsid w:val="008129C3"/>
    <w:rPr>
      <w:color w:val="000000" w:themeColor="text1"/>
    </w:rPr>
    <w:tblPr>
      <w:tblStyleRowBandSize w:val="1"/>
      <w:tblStyleColBandSize w:val="1"/>
      <w:tblBorders>
        <w:top w:val="single" w:sz="24" w:space="0" w:color="00353E" w:themeColor="accent2"/>
        <w:left w:val="single" w:sz="4" w:space="0" w:color="00353E" w:themeColor="accent2"/>
        <w:bottom w:val="single" w:sz="4" w:space="0" w:color="00353E" w:themeColor="accent2"/>
        <w:right w:val="single" w:sz="4" w:space="0" w:color="00353E" w:themeColor="accent2"/>
        <w:insideH w:val="single" w:sz="4" w:space="0" w:color="FFFFFF" w:themeColor="background1"/>
        <w:insideV w:val="single" w:sz="4" w:space="0" w:color="FFFFFF" w:themeColor="background1"/>
      </w:tblBorders>
    </w:tblPr>
    <w:tcPr>
      <w:shd w:val="clear" w:color="auto" w:fill="D3F8FF" w:themeFill="accent2" w:themeFillTint="19"/>
    </w:tcPr>
    <w:tblStylePr w:type="firstRow">
      <w:rPr>
        <w:b/>
        <w:bCs/>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25" w:themeFill="accent2" w:themeFillShade="99"/>
      </w:tcPr>
    </w:tblStylePr>
    <w:tblStylePr w:type="firstCol">
      <w:rPr>
        <w:color w:val="FFFFFF" w:themeColor="background1"/>
      </w:rPr>
      <w:tblPr/>
      <w:tcPr>
        <w:tcBorders>
          <w:top w:val="nil"/>
          <w:left w:val="nil"/>
          <w:bottom w:val="nil"/>
          <w:right w:val="nil"/>
          <w:insideH w:val="single" w:sz="4" w:space="0" w:color="001F25" w:themeColor="accent2" w:themeShade="99"/>
          <w:insideV w:val="nil"/>
        </w:tcBorders>
        <w:shd w:val="clear" w:color="auto" w:fill="001F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F25" w:themeFill="accent2" w:themeFillShade="99"/>
      </w:tcPr>
    </w:tblStylePr>
    <w:tblStylePr w:type="band1Vert">
      <w:tblPr/>
      <w:tcPr>
        <w:shd w:val="clear" w:color="auto" w:fill="4BE4FF" w:themeFill="accent2" w:themeFillTint="66"/>
      </w:tcPr>
    </w:tblStylePr>
    <w:tblStylePr w:type="band1Horz">
      <w:tblPr/>
      <w:tcPr>
        <w:shd w:val="clear" w:color="auto" w:fill="1FDDFF"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1">
    <w:name w:val="Colorful Shading - Accent 31"/>
    <w:basedOn w:val="TableNormal"/>
    <w:next w:val="ColourfulShadingAccent3"/>
    <w:uiPriority w:val="71"/>
    <w:semiHidden/>
    <w:unhideWhenUsed/>
    <w:rsid w:val="008129C3"/>
    <w:rPr>
      <w:color w:val="000000" w:themeColor="text1"/>
    </w:rPr>
    <w:tblPr>
      <w:tblStyleRowBandSize w:val="1"/>
      <w:tblStyleColBandSize w:val="1"/>
      <w:tblBorders>
        <w:top w:val="single" w:sz="24" w:space="0" w:color="E52713" w:themeColor="accent4"/>
        <w:left w:val="single" w:sz="4" w:space="0" w:color="AECC53" w:themeColor="accent3"/>
        <w:bottom w:val="single" w:sz="4" w:space="0" w:color="AECC53" w:themeColor="accent3"/>
        <w:right w:val="single" w:sz="4" w:space="0" w:color="AECC53" w:themeColor="accent3"/>
        <w:insideH w:val="single" w:sz="4" w:space="0" w:color="FFFFFF" w:themeColor="background1"/>
        <w:insideV w:val="single" w:sz="4" w:space="0" w:color="FFFFFF" w:themeColor="background1"/>
      </w:tblBorders>
    </w:tblPr>
    <w:tcPr>
      <w:shd w:val="clear" w:color="auto" w:fill="F6FAEE" w:themeFill="accent3" w:themeFillTint="19"/>
    </w:tcPr>
    <w:tblStylePr w:type="firstRow">
      <w:rPr>
        <w:b/>
        <w:bCs/>
      </w:rPr>
      <w:tblPr/>
      <w:tcPr>
        <w:tcBorders>
          <w:top w:val="nil"/>
          <w:left w:val="nil"/>
          <w:bottom w:val="single" w:sz="24" w:space="0" w:color="E5271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8427" w:themeFill="accent3" w:themeFillShade="99"/>
      </w:tcPr>
    </w:tblStylePr>
    <w:tblStylePr w:type="firstCol">
      <w:rPr>
        <w:color w:val="FFFFFF" w:themeColor="background1"/>
      </w:rPr>
      <w:tblPr/>
      <w:tcPr>
        <w:tcBorders>
          <w:top w:val="nil"/>
          <w:left w:val="nil"/>
          <w:bottom w:val="nil"/>
          <w:right w:val="nil"/>
          <w:insideH w:val="single" w:sz="4" w:space="0" w:color="6D8427" w:themeColor="accent3" w:themeShade="99"/>
          <w:insideV w:val="nil"/>
        </w:tcBorders>
        <w:shd w:val="clear" w:color="auto" w:fill="6D842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D8427" w:themeFill="accent3" w:themeFillShade="99"/>
      </w:tcPr>
    </w:tblStylePr>
    <w:tblStylePr w:type="band1Vert">
      <w:tblPr/>
      <w:tcPr>
        <w:shd w:val="clear" w:color="auto" w:fill="DEEABA" w:themeFill="accent3" w:themeFillTint="66"/>
      </w:tcPr>
    </w:tblStylePr>
    <w:tblStylePr w:type="band1Horz">
      <w:tblPr/>
      <w:tcPr>
        <w:shd w:val="clear" w:color="auto" w:fill="D6E5A9" w:themeFill="accent3" w:themeFillTint="7F"/>
      </w:tcPr>
    </w:tblStylePr>
  </w:style>
  <w:style w:type="table" w:customStyle="1" w:styleId="ColorfulShading-Accent41">
    <w:name w:val="Colorful Shading - Accent 41"/>
    <w:basedOn w:val="TableNormal"/>
    <w:next w:val="ColourfulShadingAccent4"/>
    <w:uiPriority w:val="71"/>
    <w:semiHidden/>
    <w:unhideWhenUsed/>
    <w:rsid w:val="008129C3"/>
    <w:rPr>
      <w:color w:val="000000" w:themeColor="text1"/>
    </w:rPr>
    <w:tblPr>
      <w:tblStyleRowBandSize w:val="1"/>
      <w:tblStyleColBandSize w:val="1"/>
      <w:tblBorders>
        <w:top w:val="single" w:sz="24" w:space="0" w:color="AECC53" w:themeColor="accent3"/>
        <w:left w:val="single" w:sz="4" w:space="0" w:color="E52713" w:themeColor="accent4"/>
        <w:bottom w:val="single" w:sz="4" w:space="0" w:color="E52713" w:themeColor="accent4"/>
        <w:right w:val="single" w:sz="4" w:space="0" w:color="E52713" w:themeColor="accent4"/>
        <w:insideH w:val="single" w:sz="4" w:space="0" w:color="FFFFFF" w:themeColor="background1"/>
        <w:insideV w:val="single" w:sz="4" w:space="0" w:color="FFFFFF" w:themeColor="background1"/>
      </w:tblBorders>
    </w:tblPr>
    <w:tcPr>
      <w:shd w:val="clear" w:color="auto" w:fill="FDE8E6" w:themeFill="accent4" w:themeFillTint="19"/>
    </w:tcPr>
    <w:tblStylePr w:type="firstRow">
      <w:rPr>
        <w:b/>
        <w:bCs/>
      </w:rPr>
      <w:tblPr/>
      <w:tcPr>
        <w:tcBorders>
          <w:top w:val="nil"/>
          <w:left w:val="nil"/>
          <w:bottom w:val="single" w:sz="24" w:space="0" w:color="AECC5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170B" w:themeFill="accent4" w:themeFillShade="99"/>
      </w:tcPr>
    </w:tblStylePr>
    <w:tblStylePr w:type="firstCol">
      <w:rPr>
        <w:color w:val="FFFFFF" w:themeColor="background1"/>
      </w:rPr>
      <w:tblPr/>
      <w:tcPr>
        <w:tcBorders>
          <w:top w:val="nil"/>
          <w:left w:val="nil"/>
          <w:bottom w:val="nil"/>
          <w:right w:val="nil"/>
          <w:insideH w:val="single" w:sz="4" w:space="0" w:color="89170B" w:themeColor="accent4" w:themeShade="99"/>
          <w:insideV w:val="nil"/>
        </w:tcBorders>
        <w:shd w:val="clear" w:color="auto" w:fill="8917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9170B" w:themeFill="accent4" w:themeFillShade="99"/>
      </w:tcPr>
    </w:tblStylePr>
    <w:tblStylePr w:type="band1Vert">
      <w:tblPr/>
      <w:tcPr>
        <w:shd w:val="clear" w:color="auto" w:fill="F7A69E" w:themeFill="accent4" w:themeFillTint="66"/>
      </w:tcPr>
    </w:tblStylePr>
    <w:tblStylePr w:type="band1Horz">
      <w:tblPr/>
      <w:tcPr>
        <w:shd w:val="clear" w:color="auto" w:fill="F59086"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1">
    <w:name w:val="Colorful Shading - Accent 51"/>
    <w:basedOn w:val="TableNormal"/>
    <w:next w:val="ColourfulShadingAccent5"/>
    <w:uiPriority w:val="71"/>
    <w:semiHidden/>
    <w:unhideWhenUsed/>
    <w:rsid w:val="008129C3"/>
    <w:rPr>
      <w:color w:val="000000" w:themeColor="text1"/>
    </w:rPr>
    <w:tblPr>
      <w:tblStyleRowBandSize w:val="1"/>
      <w:tblStyleColBandSize w:val="1"/>
      <w:tblBorders>
        <w:top w:val="single" w:sz="24" w:space="0" w:color="FFCE00" w:themeColor="accent6"/>
        <w:left w:val="single" w:sz="4" w:space="0" w:color="009A9B" w:themeColor="accent5"/>
        <w:bottom w:val="single" w:sz="4" w:space="0" w:color="009A9B" w:themeColor="accent5"/>
        <w:right w:val="single" w:sz="4" w:space="0" w:color="009A9B" w:themeColor="accent5"/>
        <w:insideH w:val="single" w:sz="4" w:space="0" w:color="FFFFFF" w:themeColor="background1"/>
        <w:insideV w:val="single" w:sz="4" w:space="0" w:color="FFFFFF" w:themeColor="background1"/>
      </w:tblBorders>
    </w:tblPr>
    <w:tcPr>
      <w:shd w:val="clear" w:color="auto" w:fill="DCFEFF" w:themeFill="accent5" w:themeFillTint="19"/>
    </w:tcPr>
    <w:tblStylePr w:type="firstRow">
      <w:rPr>
        <w:b/>
        <w:bCs/>
      </w:rPr>
      <w:tblPr/>
      <w:tcPr>
        <w:tcBorders>
          <w:top w:val="nil"/>
          <w:left w:val="nil"/>
          <w:bottom w:val="single" w:sz="24" w:space="0" w:color="FFCE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C5D" w:themeFill="accent5" w:themeFillShade="99"/>
      </w:tcPr>
    </w:tblStylePr>
    <w:tblStylePr w:type="firstCol">
      <w:rPr>
        <w:color w:val="FFFFFF" w:themeColor="background1"/>
      </w:rPr>
      <w:tblPr/>
      <w:tcPr>
        <w:tcBorders>
          <w:top w:val="nil"/>
          <w:left w:val="nil"/>
          <w:bottom w:val="nil"/>
          <w:right w:val="nil"/>
          <w:insideH w:val="single" w:sz="4" w:space="0" w:color="005C5D" w:themeColor="accent5" w:themeShade="99"/>
          <w:insideV w:val="nil"/>
        </w:tcBorders>
        <w:shd w:val="clear" w:color="auto" w:fill="005C5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C5D" w:themeFill="accent5" w:themeFillShade="99"/>
      </w:tcPr>
    </w:tblStylePr>
    <w:tblStylePr w:type="band1Vert">
      <w:tblPr/>
      <w:tcPr>
        <w:shd w:val="clear" w:color="auto" w:fill="71FDFF" w:themeFill="accent5" w:themeFillTint="66"/>
      </w:tcPr>
    </w:tblStylePr>
    <w:tblStylePr w:type="band1Horz">
      <w:tblPr/>
      <w:tcPr>
        <w:shd w:val="clear" w:color="auto" w:fill="4EFDFF"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1">
    <w:name w:val="Colorful Shading - Accent 61"/>
    <w:basedOn w:val="TableNormal"/>
    <w:next w:val="ColourfulShadingAccent6"/>
    <w:uiPriority w:val="71"/>
    <w:semiHidden/>
    <w:unhideWhenUsed/>
    <w:rsid w:val="008129C3"/>
    <w:rPr>
      <w:color w:val="000000" w:themeColor="text1"/>
    </w:rPr>
    <w:tblPr>
      <w:tblStyleRowBandSize w:val="1"/>
      <w:tblStyleColBandSize w:val="1"/>
      <w:tblBorders>
        <w:top w:val="single" w:sz="24" w:space="0" w:color="009A9B" w:themeColor="accent5"/>
        <w:left w:val="single" w:sz="4" w:space="0" w:color="FFCE00" w:themeColor="accent6"/>
        <w:bottom w:val="single" w:sz="4" w:space="0" w:color="FFCE00" w:themeColor="accent6"/>
        <w:right w:val="single" w:sz="4" w:space="0" w:color="FFCE00" w:themeColor="accent6"/>
        <w:insideH w:val="single" w:sz="4" w:space="0" w:color="FFFFFF" w:themeColor="background1"/>
        <w:insideV w:val="single" w:sz="4" w:space="0" w:color="FFFFFF" w:themeColor="background1"/>
      </w:tblBorders>
    </w:tblPr>
    <w:tcPr>
      <w:shd w:val="clear" w:color="auto" w:fill="FFFAE6" w:themeFill="accent6" w:themeFillTint="19"/>
    </w:tcPr>
    <w:tblStylePr w:type="firstRow">
      <w:rPr>
        <w:b/>
        <w:bCs/>
      </w:rPr>
      <w:tblPr/>
      <w:tcPr>
        <w:tcBorders>
          <w:top w:val="nil"/>
          <w:left w:val="nil"/>
          <w:bottom w:val="single" w:sz="24" w:space="0" w:color="009A9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B00" w:themeFill="accent6" w:themeFillShade="99"/>
      </w:tcPr>
    </w:tblStylePr>
    <w:tblStylePr w:type="firstCol">
      <w:rPr>
        <w:color w:val="FFFFFF" w:themeColor="background1"/>
      </w:rPr>
      <w:tblPr/>
      <w:tcPr>
        <w:tcBorders>
          <w:top w:val="nil"/>
          <w:left w:val="nil"/>
          <w:bottom w:val="nil"/>
          <w:right w:val="nil"/>
          <w:insideH w:val="single" w:sz="4" w:space="0" w:color="997B00" w:themeColor="accent6" w:themeShade="99"/>
          <w:insideV w:val="nil"/>
        </w:tcBorders>
        <w:shd w:val="clear" w:color="auto" w:fill="997B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B00" w:themeFill="accent6" w:themeFillShade="99"/>
      </w:tcPr>
    </w:tblStylePr>
    <w:tblStylePr w:type="band1Vert">
      <w:tblPr/>
      <w:tcPr>
        <w:shd w:val="clear" w:color="auto" w:fill="FFEB99" w:themeFill="accent6" w:themeFillTint="66"/>
      </w:tcPr>
    </w:tblStylePr>
    <w:tblStylePr w:type="band1Horz">
      <w:tblPr/>
      <w:tcPr>
        <w:shd w:val="clear" w:color="auto" w:fill="FFE680"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next w:val="DarkList"/>
    <w:uiPriority w:val="70"/>
    <w:semiHidden/>
    <w:unhideWhenUsed/>
    <w:rsid w:val="008129C3"/>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1">
    <w:name w:val="Dark List - Accent 11"/>
    <w:basedOn w:val="TableNormal"/>
    <w:next w:val="DarkList-Accent1"/>
    <w:uiPriority w:val="70"/>
    <w:semiHidden/>
    <w:unhideWhenUsed/>
    <w:rsid w:val="008129C3"/>
    <w:rPr>
      <w:color w:val="FFFFFF" w:themeColor="background1"/>
    </w:rPr>
    <w:tblPr>
      <w:tblStyleRowBandSize w:val="1"/>
      <w:tblStyleColBandSize w:val="1"/>
    </w:tblPr>
    <w:tcPr>
      <w:shd w:val="clear" w:color="auto" w:fill="00876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33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54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54D" w:themeFill="accent1" w:themeFillShade="BF"/>
      </w:tcPr>
    </w:tblStylePr>
    <w:tblStylePr w:type="band1Vert">
      <w:tblPr/>
      <w:tcPr>
        <w:tcBorders>
          <w:top w:val="nil"/>
          <w:left w:val="nil"/>
          <w:bottom w:val="nil"/>
          <w:right w:val="nil"/>
          <w:insideH w:val="nil"/>
          <w:insideV w:val="nil"/>
        </w:tcBorders>
        <w:shd w:val="clear" w:color="auto" w:fill="00654D" w:themeFill="accent1" w:themeFillShade="BF"/>
      </w:tcPr>
    </w:tblStylePr>
    <w:tblStylePr w:type="band1Horz">
      <w:tblPr/>
      <w:tcPr>
        <w:tcBorders>
          <w:top w:val="nil"/>
          <w:left w:val="nil"/>
          <w:bottom w:val="nil"/>
          <w:right w:val="nil"/>
          <w:insideH w:val="nil"/>
          <w:insideV w:val="nil"/>
        </w:tcBorders>
        <w:shd w:val="clear" w:color="auto" w:fill="00654D" w:themeFill="accent1" w:themeFillShade="BF"/>
      </w:tcPr>
    </w:tblStylePr>
  </w:style>
  <w:style w:type="table" w:customStyle="1" w:styleId="DarkList-Accent21">
    <w:name w:val="Dark List - Accent 21"/>
    <w:basedOn w:val="TableNormal"/>
    <w:next w:val="DarkList-Accent2"/>
    <w:uiPriority w:val="70"/>
    <w:semiHidden/>
    <w:unhideWhenUsed/>
    <w:rsid w:val="008129C3"/>
    <w:rPr>
      <w:color w:val="FFFFFF" w:themeColor="background1"/>
    </w:rPr>
    <w:tblPr>
      <w:tblStyleRowBandSize w:val="1"/>
      <w:tblStyleColBandSize w:val="1"/>
    </w:tblPr>
    <w:tcPr>
      <w:shd w:val="clear" w:color="auto" w:fill="00353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A1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72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72E" w:themeFill="accent2" w:themeFillShade="BF"/>
      </w:tcPr>
    </w:tblStylePr>
    <w:tblStylePr w:type="band1Vert">
      <w:tblPr/>
      <w:tcPr>
        <w:tcBorders>
          <w:top w:val="nil"/>
          <w:left w:val="nil"/>
          <w:bottom w:val="nil"/>
          <w:right w:val="nil"/>
          <w:insideH w:val="nil"/>
          <w:insideV w:val="nil"/>
        </w:tcBorders>
        <w:shd w:val="clear" w:color="auto" w:fill="00272E" w:themeFill="accent2" w:themeFillShade="BF"/>
      </w:tcPr>
    </w:tblStylePr>
    <w:tblStylePr w:type="band1Horz">
      <w:tblPr/>
      <w:tcPr>
        <w:tcBorders>
          <w:top w:val="nil"/>
          <w:left w:val="nil"/>
          <w:bottom w:val="nil"/>
          <w:right w:val="nil"/>
          <w:insideH w:val="nil"/>
          <w:insideV w:val="nil"/>
        </w:tcBorders>
        <w:shd w:val="clear" w:color="auto" w:fill="00272E" w:themeFill="accent2" w:themeFillShade="BF"/>
      </w:tcPr>
    </w:tblStylePr>
  </w:style>
  <w:style w:type="table" w:customStyle="1" w:styleId="DarkList-Accent31">
    <w:name w:val="Dark List - Accent 31"/>
    <w:basedOn w:val="TableNormal"/>
    <w:next w:val="DarkList-Accent3"/>
    <w:uiPriority w:val="70"/>
    <w:semiHidden/>
    <w:unhideWhenUsed/>
    <w:rsid w:val="008129C3"/>
    <w:rPr>
      <w:color w:val="FFFFFF" w:themeColor="background1"/>
    </w:rPr>
    <w:tblPr>
      <w:tblStyleRowBandSize w:val="1"/>
      <w:tblStyleColBandSize w:val="1"/>
    </w:tblPr>
    <w:tcPr>
      <w:shd w:val="clear" w:color="auto" w:fill="AECC5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6E2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8A53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8A531" w:themeFill="accent3" w:themeFillShade="BF"/>
      </w:tcPr>
    </w:tblStylePr>
    <w:tblStylePr w:type="band1Vert">
      <w:tblPr/>
      <w:tcPr>
        <w:tcBorders>
          <w:top w:val="nil"/>
          <w:left w:val="nil"/>
          <w:bottom w:val="nil"/>
          <w:right w:val="nil"/>
          <w:insideH w:val="nil"/>
          <w:insideV w:val="nil"/>
        </w:tcBorders>
        <w:shd w:val="clear" w:color="auto" w:fill="88A531" w:themeFill="accent3" w:themeFillShade="BF"/>
      </w:tcPr>
    </w:tblStylePr>
    <w:tblStylePr w:type="band1Horz">
      <w:tblPr/>
      <w:tcPr>
        <w:tcBorders>
          <w:top w:val="nil"/>
          <w:left w:val="nil"/>
          <w:bottom w:val="nil"/>
          <w:right w:val="nil"/>
          <w:insideH w:val="nil"/>
          <w:insideV w:val="nil"/>
        </w:tcBorders>
        <w:shd w:val="clear" w:color="auto" w:fill="88A531" w:themeFill="accent3" w:themeFillShade="BF"/>
      </w:tcPr>
    </w:tblStylePr>
  </w:style>
  <w:style w:type="table" w:customStyle="1" w:styleId="DarkList-Accent41">
    <w:name w:val="Dark List - Accent 41"/>
    <w:basedOn w:val="TableNormal"/>
    <w:next w:val="DarkList-Accent4"/>
    <w:uiPriority w:val="70"/>
    <w:semiHidden/>
    <w:unhideWhenUsed/>
    <w:rsid w:val="008129C3"/>
    <w:rPr>
      <w:color w:val="FFFFFF" w:themeColor="background1"/>
    </w:rPr>
    <w:tblPr>
      <w:tblStyleRowBandSize w:val="1"/>
      <w:tblStyleColBandSize w:val="1"/>
    </w:tblPr>
    <w:tcPr>
      <w:shd w:val="clear" w:color="auto" w:fill="E5271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1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B1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B1D0E" w:themeFill="accent4" w:themeFillShade="BF"/>
      </w:tcPr>
    </w:tblStylePr>
    <w:tblStylePr w:type="band1Vert">
      <w:tblPr/>
      <w:tcPr>
        <w:tcBorders>
          <w:top w:val="nil"/>
          <w:left w:val="nil"/>
          <w:bottom w:val="nil"/>
          <w:right w:val="nil"/>
          <w:insideH w:val="nil"/>
          <w:insideV w:val="nil"/>
        </w:tcBorders>
        <w:shd w:val="clear" w:color="auto" w:fill="AB1D0E" w:themeFill="accent4" w:themeFillShade="BF"/>
      </w:tcPr>
    </w:tblStylePr>
    <w:tblStylePr w:type="band1Horz">
      <w:tblPr/>
      <w:tcPr>
        <w:tcBorders>
          <w:top w:val="nil"/>
          <w:left w:val="nil"/>
          <w:bottom w:val="nil"/>
          <w:right w:val="nil"/>
          <w:insideH w:val="nil"/>
          <w:insideV w:val="nil"/>
        </w:tcBorders>
        <w:shd w:val="clear" w:color="auto" w:fill="AB1D0E" w:themeFill="accent4" w:themeFillShade="BF"/>
      </w:tcPr>
    </w:tblStylePr>
  </w:style>
  <w:style w:type="table" w:customStyle="1" w:styleId="DarkList-Accent51">
    <w:name w:val="Dark List - Accent 51"/>
    <w:basedOn w:val="TableNormal"/>
    <w:next w:val="DarkList-Accent5"/>
    <w:uiPriority w:val="70"/>
    <w:semiHidden/>
    <w:unhideWhenUsed/>
    <w:rsid w:val="008129C3"/>
    <w:rPr>
      <w:color w:val="FFFFFF" w:themeColor="background1"/>
    </w:rPr>
    <w:tblPr>
      <w:tblStyleRowBandSize w:val="1"/>
      <w:tblStyleColBandSize w:val="1"/>
    </w:tblPr>
    <w:tcPr>
      <w:shd w:val="clear" w:color="auto" w:fill="009A9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C4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37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374" w:themeFill="accent5" w:themeFillShade="BF"/>
      </w:tcPr>
    </w:tblStylePr>
    <w:tblStylePr w:type="band1Vert">
      <w:tblPr/>
      <w:tcPr>
        <w:tcBorders>
          <w:top w:val="nil"/>
          <w:left w:val="nil"/>
          <w:bottom w:val="nil"/>
          <w:right w:val="nil"/>
          <w:insideH w:val="nil"/>
          <w:insideV w:val="nil"/>
        </w:tcBorders>
        <w:shd w:val="clear" w:color="auto" w:fill="007374" w:themeFill="accent5" w:themeFillShade="BF"/>
      </w:tcPr>
    </w:tblStylePr>
    <w:tblStylePr w:type="band1Horz">
      <w:tblPr/>
      <w:tcPr>
        <w:tcBorders>
          <w:top w:val="nil"/>
          <w:left w:val="nil"/>
          <w:bottom w:val="nil"/>
          <w:right w:val="nil"/>
          <w:insideH w:val="nil"/>
          <w:insideV w:val="nil"/>
        </w:tcBorders>
        <w:shd w:val="clear" w:color="auto" w:fill="007374" w:themeFill="accent5" w:themeFillShade="BF"/>
      </w:tcPr>
    </w:tblStylePr>
  </w:style>
  <w:style w:type="table" w:customStyle="1" w:styleId="DarkList-Accent61">
    <w:name w:val="Dark List - Accent 61"/>
    <w:basedOn w:val="TableNormal"/>
    <w:next w:val="DarkList-Accent6"/>
    <w:uiPriority w:val="70"/>
    <w:semiHidden/>
    <w:unhideWhenUsed/>
    <w:rsid w:val="008129C3"/>
    <w:rPr>
      <w:color w:val="FFFFFF" w:themeColor="background1"/>
    </w:rPr>
    <w:tblPr>
      <w:tblStyleRowBandSize w:val="1"/>
      <w:tblStyleColBandSize w:val="1"/>
    </w:tblPr>
    <w:tcPr>
      <w:shd w:val="clear" w:color="auto" w:fill="FFCE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6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A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A00" w:themeFill="accent6" w:themeFillShade="BF"/>
      </w:tcPr>
    </w:tblStylePr>
    <w:tblStylePr w:type="band1Vert">
      <w:tblPr/>
      <w:tcPr>
        <w:tcBorders>
          <w:top w:val="nil"/>
          <w:left w:val="nil"/>
          <w:bottom w:val="nil"/>
          <w:right w:val="nil"/>
          <w:insideH w:val="nil"/>
          <w:insideV w:val="nil"/>
        </w:tcBorders>
        <w:shd w:val="clear" w:color="auto" w:fill="BF9A00" w:themeFill="accent6" w:themeFillShade="BF"/>
      </w:tcPr>
    </w:tblStylePr>
    <w:tblStylePr w:type="band1Horz">
      <w:tblPr/>
      <w:tcPr>
        <w:tcBorders>
          <w:top w:val="nil"/>
          <w:left w:val="nil"/>
          <w:bottom w:val="nil"/>
          <w:right w:val="nil"/>
          <w:insideH w:val="nil"/>
          <w:insideV w:val="nil"/>
        </w:tcBorders>
        <w:shd w:val="clear" w:color="auto" w:fill="BF9A00" w:themeFill="accent6" w:themeFillShade="BF"/>
      </w:tcPr>
    </w:tblStylePr>
  </w:style>
  <w:style w:type="table" w:customStyle="1" w:styleId="LightGrid1">
    <w:name w:val="Light Grid1"/>
    <w:basedOn w:val="TableNormal"/>
    <w:next w:val="LightGrid"/>
    <w:uiPriority w:val="62"/>
    <w:semiHidden/>
    <w:unhideWhenUsed/>
    <w:rsid w:val="008129C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next w:val="LightGrid-Accent1"/>
    <w:uiPriority w:val="62"/>
    <w:semiHidden/>
    <w:unhideWhenUsed/>
    <w:rsid w:val="008129C3"/>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insideH w:val="single" w:sz="8" w:space="0" w:color="008768" w:themeColor="accent1"/>
        <w:insideV w:val="single" w:sz="8" w:space="0" w:color="00876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768" w:themeColor="accent1"/>
          <w:left w:val="single" w:sz="8" w:space="0" w:color="008768" w:themeColor="accent1"/>
          <w:bottom w:val="single" w:sz="18" w:space="0" w:color="008768" w:themeColor="accent1"/>
          <w:right w:val="single" w:sz="8" w:space="0" w:color="008768" w:themeColor="accent1"/>
          <w:insideH w:val="nil"/>
          <w:insideV w:val="single" w:sz="8" w:space="0" w:color="0087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768" w:themeColor="accent1"/>
          <w:left w:val="single" w:sz="8" w:space="0" w:color="008768" w:themeColor="accent1"/>
          <w:bottom w:val="single" w:sz="8" w:space="0" w:color="008768" w:themeColor="accent1"/>
          <w:right w:val="single" w:sz="8" w:space="0" w:color="008768" w:themeColor="accent1"/>
          <w:insideH w:val="nil"/>
          <w:insideV w:val="single" w:sz="8" w:space="0" w:color="0087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tblStylePr w:type="band1Vert">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shd w:val="clear" w:color="auto" w:fill="A2FFE9" w:themeFill="accent1" w:themeFillTint="3F"/>
      </w:tcPr>
    </w:tblStylePr>
    <w:tblStylePr w:type="band1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insideV w:val="single" w:sz="8" w:space="0" w:color="008768" w:themeColor="accent1"/>
        </w:tcBorders>
        <w:shd w:val="clear" w:color="auto" w:fill="A2FFE9" w:themeFill="accent1" w:themeFillTint="3F"/>
      </w:tcPr>
    </w:tblStylePr>
    <w:tblStylePr w:type="band2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insideV w:val="single" w:sz="8" w:space="0" w:color="008768" w:themeColor="accent1"/>
        </w:tcBorders>
      </w:tcPr>
    </w:tblStylePr>
  </w:style>
  <w:style w:type="table" w:customStyle="1" w:styleId="LightGrid-Accent21">
    <w:name w:val="Light Grid - Accent 21"/>
    <w:basedOn w:val="TableNormal"/>
    <w:next w:val="LightGrid-Accent2"/>
    <w:uiPriority w:val="62"/>
    <w:semiHidden/>
    <w:unhideWhenUsed/>
    <w:rsid w:val="008129C3"/>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insideH w:val="single" w:sz="8" w:space="0" w:color="00353E" w:themeColor="accent2"/>
        <w:insideV w:val="single" w:sz="8" w:space="0" w:color="00353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53E" w:themeColor="accent2"/>
          <w:left w:val="single" w:sz="8" w:space="0" w:color="00353E" w:themeColor="accent2"/>
          <w:bottom w:val="single" w:sz="18" w:space="0" w:color="00353E" w:themeColor="accent2"/>
          <w:right w:val="single" w:sz="8" w:space="0" w:color="00353E" w:themeColor="accent2"/>
          <w:insideH w:val="nil"/>
          <w:insideV w:val="single" w:sz="8" w:space="0" w:color="00353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53E" w:themeColor="accent2"/>
          <w:left w:val="single" w:sz="8" w:space="0" w:color="00353E" w:themeColor="accent2"/>
          <w:bottom w:val="single" w:sz="8" w:space="0" w:color="00353E" w:themeColor="accent2"/>
          <w:right w:val="single" w:sz="8" w:space="0" w:color="00353E" w:themeColor="accent2"/>
          <w:insideH w:val="nil"/>
          <w:insideV w:val="single" w:sz="8" w:space="0" w:color="00353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tblStylePr w:type="band1Vert">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shd w:val="clear" w:color="auto" w:fill="90EEFF" w:themeFill="accent2" w:themeFillTint="3F"/>
      </w:tcPr>
    </w:tblStylePr>
    <w:tblStylePr w:type="band1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insideV w:val="single" w:sz="8" w:space="0" w:color="00353E" w:themeColor="accent2"/>
        </w:tcBorders>
        <w:shd w:val="clear" w:color="auto" w:fill="90EEFF" w:themeFill="accent2" w:themeFillTint="3F"/>
      </w:tcPr>
    </w:tblStylePr>
    <w:tblStylePr w:type="band2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insideV w:val="single" w:sz="8" w:space="0" w:color="00353E" w:themeColor="accent2"/>
        </w:tcBorders>
      </w:tcPr>
    </w:tblStylePr>
  </w:style>
  <w:style w:type="table" w:customStyle="1" w:styleId="LightGrid-Accent31">
    <w:name w:val="Light Grid - Accent 31"/>
    <w:basedOn w:val="TableNormal"/>
    <w:next w:val="LightGrid-Accent3"/>
    <w:uiPriority w:val="62"/>
    <w:semiHidden/>
    <w:unhideWhenUsed/>
    <w:rsid w:val="008129C3"/>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insideH w:val="single" w:sz="8" w:space="0" w:color="AECC53" w:themeColor="accent3"/>
        <w:insideV w:val="single" w:sz="8" w:space="0" w:color="AECC5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CC53" w:themeColor="accent3"/>
          <w:left w:val="single" w:sz="8" w:space="0" w:color="AECC53" w:themeColor="accent3"/>
          <w:bottom w:val="single" w:sz="18" w:space="0" w:color="AECC53" w:themeColor="accent3"/>
          <w:right w:val="single" w:sz="8" w:space="0" w:color="AECC53" w:themeColor="accent3"/>
          <w:insideH w:val="nil"/>
          <w:insideV w:val="single" w:sz="8" w:space="0" w:color="AECC5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CC53" w:themeColor="accent3"/>
          <w:left w:val="single" w:sz="8" w:space="0" w:color="AECC53" w:themeColor="accent3"/>
          <w:bottom w:val="single" w:sz="8" w:space="0" w:color="AECC53" w:themeColor="accent3"/>
          <w:right w:val="single" w:sz="8" w:space="0" w:color="AECC53" w:themeColor="accent3"/>
          <w:insideH w:val="nil"/>
          <w:insideV w:val="single" w:sz="8" w:space="0" w:color="AECC5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tblStylePr w:type="band1Vert">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shd w:val="clear" w:color="auto" w:fill="EAF2D4" w:themeFill="accent3" w:themeFillTint="3F"/>
      </w:tcPr>
    </w:tblStylePr>
    <w:tblStylePr w:type="band1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insideV w:val="single" w:sz="8" w:space="0" w:color="AECC53" w:themeColor="accent3"/>
        </w:tcBorders>
        <w:shd w:val="clear" w:color="auto" w:fill="EAF2D4" w:themeFill="accent3" w:themeFillTint="3F"/>
      </w:tcPr>
    </w:tblStylePr>
    <w:tblStylePr w:type="band2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insideV w:val="single" w:sz="8" w:space="0" w:color="AECC53" w:themeColor="accent3"/>
        </w:tcBorders>
      </w:tcPr>
    </w:tblStylePr>
  </w:style>
  <w:style w:type="table" w:customStyle="1" w:styleId="LightGrid-Accent41">
    <w:name w:val="Light Grid - Accent 41"/>
    <w:basedOn w:val="TableNormal"/>
    <w:next w:val="LightGrid-Accent4"/>
    <w:uiPriority w:val="62"/>
    <w:semiHidden/>
    <w:unhideWhenUsed/>
    <w:rsid w:val="008129C3"/>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insideH w:val="single" w:sz="8" w:space="0" w:color="E52713" w:themeColor="accent4"/>
        <w:insideV w:val="single" w:sz="8" w:space="0" w:color="E5271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2713" w:themeColor="accent4"/>
          <w:left w:val="single" w:sz="8" w:space="0" w:color="E52713" w:themeColor="accent4"/>
          <w:bottom w:val="single" w:sz="18" w:space="0" w:color="E52713" w:themeColor="accent4"/>
          <w:right w:val="single" w:sz="8" w:space="0" w:color="E52713" w:themeColor="accent4"/>
          <w:insideH w:val="nil"/>
          <w:insideV w:val="single" w:sz="8" w:space="0" w:color="E5271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2713" w:themeColor="accent4"/>
          <w:left w:val="single" w:sz="8" w:space="0" w:color="E52713" w:themeColor="accent4"/>
          <w:bottom w:val="single" w:sz="8" w:space="0" w:color="E52713" w:themeColor="accent4"/>
          <w:right w:val="single" w:sz="8" w:space="0" w:color="E52713" w:themeColor="accent4"/>
          <w:insideH w:val="nil"/>
          <w:insideV w:val="single" w:sz="8" w:space="0" w:color="E5271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tblStylePr w:type="band1Vert">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shd w:val="clear" w:color="auto" w:fill="FAC8C2" w:themeFill="accent4" w:themeFillTint="3F"/>
      </w:tcPr>
    </w:tblStylePr>
    <w:tblStylePr w:type="band1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insideV w:val="single" w:sz="8" w:space="0" w:color="E52713" w:themeColor="accent4"/>
        </w:tcBorders>
        <w:shd w:val="clear" w:color="auto" w:fill="FAC8C2" w:themeFill="accent4" w:themeFillTint="3F"/>
      </w:tcPr>
    </w:tblStylePr>
    <w:tblStylePr w:type="band2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insideV w:val="single" w:sz="8" w:space="0" w:color="E52713" w:themeColor="accent4"/>
        </w:tcBorders>
      </w:tcPr>
    </w:tblStylePr>
  </w:style>
  <w:style w:type="table" w:customStyle="1" w:styleId="LightGrid-Accent51">
    <w:name w:val="Light Grid - Accent 51"/>
    <w:basedOn w:val="TableNormal"/>
    <w:next w:val="LightGrid-Accent5"/>
    <w:uiPriority w:val="62"/>
    <w:semiHidden/>
    <w:unhideWhenUsed/>
    <w:rsid w:val="008129C3"/>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insideH w:val="single" w:sz="8" w:space="0" w:color="009A9B" w:themeColor="accent5"/>
        <w:insideV w:val="single" w:sz="8" w:space="0" w:color="009A9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A9B" w:themeColor="accent5"/>
          <w:left w:val="single" w:sz="8" w:space="0" w:color="009A9B" w:themeColor="accent5"/>
          <w:bottom w:val="single" w:sz="18" w:space="0" w:color="009A9B" w:themeColor="accent5"/>
          <w:right w:val="single" w:sz="8" w:space="0" w:color="009A9B" w:themeColor="accent5"/>
          <w:insideH w:val="nil"/>
          <w:insideV w:val="single" w:sz="8" w:space="0" w:color="009A9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A9B" w:themeColor="accent5"/>
          <w:left w:val="single" w:sz="8" w:space="0" w:color="009A9B" w:themeColor="accent5"/>
          <w:bottom w:val="single" w:sz="8" w:space="0" w:color="009A9B" w:themeColor="accent5"/>
          <w:right w:val="single" w:sz="8" w:space="0" w:color="009A9B" w:themeColor="accent5"/>
          <w:insideH w:val="nil"/>
          <w:insideV w:val="single" w:sz="8" w:space="0" w:color="009A9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tblStylePr w:type="band1Vert">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shd w:val="clear" w:color="auto" w:fill="A7FEFF" w:themeFill="accent5" w:themeFillTint="3F"/>
      </w:tcPr>
    </w:tblStylePr>
    <w:tblStylePr w:type="band1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insideV w:val="single" w:sz="8" w:space="0" w:color="009A9B" w:themeColor="accent5"/>
        </w:tcBorders>
        <w:shd w:val="clear" w:color="auto" w:fill="A7FEFF" w:themeFill="accent5" w:themeFillTint="3F"/>
      </w:tcPr>
    </w:tblStylePr>
    <w:tblStylePr w:type="band2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insideV w:val="single" w:sz="8" w:space="0" w:color="009A9B" w:themeColor="accent5"/>
        </w:tcBorders>
      </w:tcPr>
    </w:tblStylePr>
  </w:style>
  <w:style w:type="table" w:customStyle="1" w:styleId="LightGrid-Accent61">
    <w:name w:val="Light Grid - Accent 61"/>
    <w:basedOn w:val="TableNormal"/>
    <w:next w:val="LightGrid-Accent6"/>
    <w:uiPriority w:val="62"/>
    <w:semiHidden/>
    <w:unhideWhenUsed/>
    <w:rsid w:val="008129C3"/>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insideH w:val="single" w:sz="8" w:space="0" w:color="FFCE00" w:themeColor="accent6"/>
        <w:insideV w:val="single" w:sz="8" w:space="0" w:color="FFCE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E00" w:themeColor="accent6"/>
          <w:left w:val="single" w:sz="8" w:space="0" w:color="FFCE00" w:themeColor="accent6"/>
          <w:bottom w:val="single" w:sz="18" w:space="0" w:color="FFCE00" w:themeColor="accent6"/>
          <w:right w:val="single" w:sz="8" w:space="0" w:color="FFCE00" w:themeColor="accent6"/>
          <w:insideH w:val="nil"/>
          <w:insideV w:val="single" w:sz="8" w:space="0" w:color="FFCE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E00" w:themeColor="accent6"/>
          <w:left w:val="single" w:sz="8" w:space="0" w:color="FFCE00" w:themeColor="accent6"/>
          <w:bottom w:val="single" w:sz="8" w:space="0" w:color="FFCE00" w:themeColor="accent6"/>
          <w:right w:val="single" w:sz="8" w:space="0" w:color="FFCE00" w:themeColor="accent6"/>
          <w:insideH w:val="nil"/>
          <w:insideV w:val="single" w:sz="8" w:space="0" w:color="FFCE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tblStylePr w:type="band1Vert">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shd w:val="clear" w:color="auto" w:fill="FFF2C0" w:themeFill="accent6" w:themeFillTint="3F"/>
      </w:tcPr>
    </w:tblStylePr>
    <w:tblStylePr w:type="band1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insideV w:val="single" w:sz="8" w:space="0" w:color="FFCE00" w:themeColor="accent6"/>
        </w:tcBorders>
        <w:shd w:val="clear" w:color="auto" w:fill="FFF2C0" w:themeFill="accent6" w:themeFillTint="3F"/>
      </w:tcPr>
    </w:tblStylePr>
    <w:tblStylePr w:type="band2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insideV w:val="single" w:sz="8" w:space="0" w:color="FFCE00" w:themeColor="accent6"/>
        </w:tcBorders>
      </w:tcPr>
    </w:tblStylePr>
  </w:style>
  <w:style w:type="table" w:customStyle="1" w:styleId="LightList1">
    <w:name w:val="Light List1"/>
    <w:basedOn w:val="TableNormal"/>
    <w:next w:val="LightList"/>
    <w:uiPriority w:val="61"/>
    <w:semiHidden/>
    <w:unhideWhenUsed/>
    <w:rsid w:val="008129C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next w:val="LightList-Accent1"/>
    <w:uiPriority w:val="61"/>
    <w:semiHidden/>
    <w:unhideWhenUsed/>
    <w:rsid w:val="008129C3"/>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tblBorders>
    </w:tblPr>
    <w:tblStylePr w:type="firstRow">
      <w:pPr>
        <w:spacing w:before="0" w:after="0" w:line="240" w:lineRule="auto"/>
      </w:pPr>
      <w:rPr>
        <w:b/>
        <w:bCs/>
        <w:color w:val="FFFFFF" w:themeColor="background1"/>
      </w:rPr>
      <w:tblPr/>
      <w:tcPr>
        <w:shd w:val="clear" w:color="auto" w:fill="008768" w:themeFill="accent1"/>
      </w:tcPr>
    </w:tblStylePr>
    <w:tblStylePr w:type="lastRow">
      <w:pPr>
        <w:spacing w:before="0" w:after="0" w:line="240" w:lineRule="auto"/>
      </w:pPr>
      <w:rPr>
        <w:b/>
        <w:bCs/>
      </w:rPr>
      <w:tblPr/>
      <w:tcPr>
        <w:tcBorders>
          <w:top w:val="double" w:sz="6" w:space="0" w:color="008768" w:themeColor="accent1"/>
          <w:left w:val="single" w:sz="8" w:space="0" w:color="008768" w:themeColor="accent1"/>
          <w:bottom w:val="single" w:sz="8" w:space="0" w:color="008768" w:themeColor="accent1"/>
          <w:right w:val="single" w:sz="8" w:space="0" w:color="008768" w:themeColor="accent1"/>
        </w:tcBorders>
      </w:tcPr>
    </w:tblStylePr>
    <w:tblStylePr w:type="firstCol">
      <w:rPr>
        <w:b/>
        <w:bCs/>
      </w:rPr>
    </w:tblStylePr>
    <w:tblStylePr w:type="lastCol">
      <w:rPr>
        <w:b/>
        <w:bCs/>
      </w:rPr>
    </w:tblStylePr>
    <w:tblStylePr w:type="band1Vert">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tblStylePr w:type="band1Horz">
      <w:tblPr/>
      <w:tcPr>
        <w:tcBorders>
          <w:top w:val="single" w:sz="8" w:space="0" w:color="008768" w:themeColor="accent1"/>
          <w:left w:val="single" w:sz="8" w:space="0" w:color="008768" w:themeColor="accent1"/>
          <w:bottom w:val="single" w:sz="8" w:space="0" w:color="008768" w:themeColor="accent1"/>
          <w:right w:val="single" w:sz="8" w:space="0" w:color="008768" w:themeColor="accent1"/>
        </w:tcBorders>
      </w:tcPr>
    </w:tblStylePr>
  </w:style>
  <w:style w:type="table" w:customStyle="1" w:styleId="LightList-Accent21">
    <w:name w:val="Light List - Accent 21"/>
    <w:basedOn w:val="TableNormal"/>
    <w:next w:val="LightList-Accent2"/>
    <w:uiPriority w:val="61"/>
    <w:semiHidden/>
    <w:unhideWhenUsed/>
    <w:rsid w:val="008129C3"/>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tblBorders>
    </w:tblPr>
    <w:tblStylePr w:type="firstRow">
      <w:pPr>
        <w:spacing w:before="0" w:after="0" w:line="240" w:lineRule="auto"/>
      </w:pPr>
      <w:rPr>
        <w:b/>
        <w:bCs/>
        <w:color w:val="FFFFFF" w:themeColor="background1"/>
      </w:rPr>
      <w:tblPr/>
      <w:tcPr>
        <w:shd w:val="clear" w:color="auto" w:fill="00353E" w:themeFill="accent2"/>
      </w:tcPr>
    </w:tblStylePr>
    <w:tblStylePr w:type="lastRow">
      <w:pPr>
        <w:spacing w:before="0" w:after="0" w:line="240" w:lineRule="auto"/>
      </w:pPr>
      <w:rPr>
        <w:b/>
        <w:bCs/>
      </w:rPr>
      <w:tblPr/>
      <w:tcPr>
        <w:tcBorders>
          <w:top w:val="double" w:sz="6" w:space="0" w:color="00353E" w:themeColor="accent2"/>
          <w:left w:val="single" w:sz="8" w:space="0" w:color="00353E" w:themeColor="accent2"/>
          <w:bottom w:val="single" w:sz="8" w:space="0" w:color="00353E" w:themeColor="accent2"/>
          <w:right w:val="single" w:sz="8" w:space="0" w:color="00353E" w:themeColor="accent2"/>
        </w:tcBorders>
      </w:tcPr>
    </w:tblStylePr>
    <w:tblStylePr w:type="firstCol">
      <w:rPr>
        <w:b/>
        <w:bCs/>
      </w:rPr>
    </w:tblStylePr>
    <w:tblStylePr w:type="lastCol">
      <w:rPr>
        <w:b/>
        <w:bCs/>
      </w:rPr>
    </w:tblStylePr>
    <w:tblStylePr w:type="band1Vert">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tblStylePr w:type="band1Horz">
      <w:tblPr/>
      <w:tcPr>
        <w:tcBorders>
          <w:top w:val="single" w:sz="8" w:space="0" w:color="00353E" w:themeColor="accent2"/>
          <w:left w:val="single" w:sz="8" w:space="0" w:color="00353E" w:themeColor="accent2"/>
          <w:bottom w:val="single" w:sz="8" w:space="0" w:color="00353E" w:themeColor="accent2"/>
          <w:right w:val="single" w:sz="8" w:space="0" w:color="00353E" w:themeColor="accent2"/>
        </w:tcBorders>
      </w:tcPr>
    </w:tblStylePr>
  </w:style>
  <w:style w:type="table" w:customStyle="1" w:styleId="LightList-Accent31">
    <w:name w:val="Light List - Accent 31"/>
    <w:basedOn w:val="TableNormal"/>
    <w:next w:val="LightList-Accent3"/>
    <w:uiPriority w:val="61"/>
    <w:semiHidden/>
    <w:unhideWhenUsed/>
    <w:rsid w:val="008129C3"/>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tblBorders>
    </w:tblPr>
    <w:tblStylePr w:type="firstRow">
      <w:pPr>
        <w:spacing w:before="0" w:after="0" w:line="240" w:lineRule="auto"/>
      </w:pPr>
      <w:rPr>
        <w:b/>
        <w:bCs/>
        <w:color w:val="FFFFFF" w:themeColor="background1"/>
      </w:rPr>
      <w:tblPr/>
      <w:tcPr>
        <w:shd w:val="clear" w:color="auto" w:fill="AECC53" w:themeFill="accent3"/>
      </w:tcPr>
    </w:tblStylePr>
    <w:tblStylePr w:type="lastRow">
      <w:pPr>
        <w:spacing w:before="0" w:after="0" w:line="240" w:lineRule="auto"/>
      </w:pPr>
      <w:rPr>
        <w:b/>
        <w:bCs/>
      </w:rPr>
      <w:tblPr/>
      <w:tcPr>
        <w:tcBorders>
          <w:top w:val="double" w:sz="6" w:space="0" w:color="AECC53" w:themeColor="accent3"/>
          <w:left w:val="single" w:sz="8" w:space="0" w:color="AECC53" w:themeColor="accent3"/>
          <w:bottom w:val="single" w:sz="8" w:space="0" w:color="AECC53" w:themeColor="accent3"/>
          <w:right w:val="single" w:sz="8" w:space="0" w:color="AECC53" w:themeColor="accent3"/>
        </w:tcBorders>
      </w:tcPr>
    </w:tblStylePr>
    <w:tblStylePr w:type="firstCol">
      <w:rPr>
        <w:b/>
        <w:bCs/>
      </w:rPr>
    </w:tblStylePr>
    <w:tblStylePr w:type="lastCol">
      <w:rPr>
        <w:b/>
        <w:bCs/>
      </w:rPr>
    </w:tblStylePr>
    <w:tblStylePr w:type="band1Vert">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tblStylePr w:type="band1Horz">
      <w:tblPr/>
      <w:tcPr>
        <w:tcBorders>
          <w:top w:val="single" w:sz="8" w:space="0" w:color="AECC53" w:themeColor="accent3"/>
          <w:left w:val="single" w:sz="8" w:space="0" w:color="AECC53" w:themeColor="accent3"/>
          <w:bottom w:val="single" w:sz="8" w:space="0" w:color="AECC53" w:themeColor="accent3"/>
          <w:right w:val="single" w:sz="8" w:space="0" w:color="AECC53" w:themeColor="accent3"/>
        </w:tcBorders>
      </w:tcPr>
    </w:tblStylePr>
  </w:style>
  <w:style w:type="table" w:customStyle="1" w:styleId="LightList-Accent41">
    <w:name w:val="Light List - Accent 41"/>
    <w:basedOn w:val="TableNormal"/>
    <w:next w:val="LightList-Accent4"/>
    <w:uiPriority w:val="61"/>
    <w:semiHidden/>
    <w:unhideWhenUsed/>
    <w:rsid w:val="008129C3"/>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tblBorders>
    </w:tblPr>
    <w:tblStylePr w:type="firstRow">
      <w:pPr>
        <w:spacing w:before="0" w:after="0" w:line="240" w:lineRule="auto"/>
      </w:pPr>
      <w:rPr>
        <w:b/>
        <w:bCs/>
        <w:color w:val="FFFFFF" w:themeColor="background1"/>
      </w:rPr>
      <w:tblPr/>
      <w:tcPr>
        <w:shd w:val="clear" w:color="auto" w:fill="E52713" w:themeFill="accent4"/>
      </w:tcPr>
    </w:tblStylePr>
    <w:tblStylePr w:type="lastRow">
      <w:pPr>
        <w:spacing w:before="0" w:after="0" w:line="240" w:lineRule="auto"/>
      </w:pPr>
      <w:rPr>
        <w:b/>
        <w:bCs/>
      </w:rPr>
      <w:tblPr/>
      <w:tcPr>
        <w:tcBorders>
          <w:top w:val="double" w:sz="6" w:space="0" w:color="E52713" w:themeColor="accent4"/>
          <w:left w:val="single" w:sz="8" w:space="0" w:color="E52713" w:themeColor="accent4"/>
          <w:bottom w:val="single" w:sz="8" w:space="0" w:color="E52713" w:themeColor="accent4"/>
          <w:right w:val="single" w:sz="8" w:space="0" w:color="E52713" w:themeColor="accent4"/>
        </w:tcBorders>
      </w:tcPr>
    </w:tblStylePr>
    <w:tblStylePr w:type="firstCol">
      <w:rPr>
        <w:b/>
        <w:bCs/>
      </w:rPr>
    </w:tblStylePr>
    <w:tblStylePr w:type="lastCol">
      <w:rPr>
        <w:b/>
        <w:bCs/>
      </w:rPr>
    </w:tblStylePr>
    <w:tblStylePr w:type="band1Vert">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tblStylePr w:type="band1Horz">
      <w:tblPr/>
      <w:tcPr>
        <w:tcBorders>
          <w:top w:val="single" w:sz="8" w:space="0" w:color="E52713" w:themeColor="accent4"/>
          <w:left w:val="single" w:sz="8" w:space="0" w:color="E52713" w:themeColor="accent4"/>
          <w:bottom w:val="single" w:sz="8" w:space="0" w:color="E52713" w:themeColor="accent4"/>
          <w:right w:val="single" w:sz="8" w:space="0" w:color="E52713" w:themeColor="accent4"/>
        </w:tcBorders>
      </w:tcPr>
    </w:tblStylePr>
  </w:style>
  <w:style w:type="table" w:customStyle="1" w:styleId="LightList-Accent51">
    <w:name w:val="Light List - Accent 51"/>
    <w:basedOn w:val="TableNormal"/>
    <w:next w:val="LightList-Accent5"/>
    <w:uiPriority w:val="61"/>
    <w:semiHidden/>
    <w:unhideWhenUsed/>
    <w:rsid w:val="008129C3"/>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tblBorders>
    </w:tblPr>
    <w:tblStylePr w:type="firstRow">
      <w:pPr>
        <w:spacing w:before="0" w:after="0" w:line="240" w:lineRule="auto"/>
      </w:pPr>
      <w:rPr>
        <w:b/>
        <w:bCs/>
        <w:color w:val="FFFFFF" w:themeColor="background1"/>
      </w:rPr>
      <w:tblPr/>
      <w:tcPr>
        <w:shd w:val="clear" w:color="auto" w:fill="009A9B" w:themeFill="accent5"/>
      </w:tcPr>
    </w:tblStylePr>
    <w:tblStylePr w:type="lastRow">
      <w:pPr>
        <w:spacing w:before="0" w:after="0" w:line="240" w:lineRule="auto"/>
      </w:pPr>
      <w:rPr>
        <w:b/>
        <w:bCs/>
      </w:rPr>
      <w:tblPr/>
      <w:tcPr>
        <w:tcBorders>
          <w:top w:val="double" w:sz="6" w:space="0" w:color="009A9B" w:themeColor="accent5"/>
          <w:left w:val="single" w:sz="8" w:space="0" w:color="009A9B" w:themeColor="accent5"/>
          <w:bottom w:val="single" w:sz="8" w:space="0" w:color="009A9B" w:themeColor="accent5"/>
          <w:right w:val="single" w:sz="8" w:space="0" w:color="009A9B" w:themeColor="accent5"/>
        </w:tcBorders>
      </w:tcPr>
    </w:tblStylePr>
    <w:tblStylePr w:type="firstCol">
      <w:rPr>
        <w:b/>
        <w:bCs/>
      </w:rPr>
    </w:tblStylePr>
    <w:tblStylePr w:type="lastCol">
      <w:rPr>
        <w:b/>
        <w:bCs/>
      </w:rPr>
    </w:tblStylePr>
    <w:tblStylePr w:type="band1Vert">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tblStylePr w:type="band1Horz">
      <w:tblPr/>
      <w:tcPr>
        <w:tcBorders>
          <w:top w:val="single" w:sz="8" w:space="0" w:color="009A9B" w:themeColor="accent5"/>
          <w:left w:val="single" w:sz="8" w:space="0" w:color="009A9B" w:themeColor="accent5"/>
          <w:bottom w:val="single" w:sz="8" w:space="0" w:color="009A9B" w:themeColor="accent5"/>
          <w:right w:val="single" w:sz="8" w:space="0" w:color="009A9B" w:themeColor="accent5"/>
        </w:tcBorders>
      </w:tcPr>
    </w:tblStylePr>
  </w:style>
  <w:style w:type="table" w:customStyle="1" w:styleId="LightList-Accent61">
    <w:name w:val="Light List - Accent 61"/>
    <w:basedOn w:val="TableNormal"/>
    <w:next w:val="LightList-Accent6"/>
    <w:uiPriority w:val="61"/>
    <w:semiHidden/>
    <w:unhideWhenUsed/>
    <w:rsid w:val="008129C3"/>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tblBorders>
    </w:tblPr>
    <w:tblStylePr w:type="firstRow">
      <w:pPr>
        <w:spacing w:before="0" w:after="0" w:line="240" w:lineRule="auto"/>
      </w:pPr>
      <w:rPr>
        <w:b/>
        <w:bCs/>
        <w:color w:val="FFFFFF" w:themeColor="background1"/>
      </w:rPr>
      <w:tblPr/>
      <w:tcPr>
        <w:shd w:val="clear" w:color="auto" w:fill="FFCE00" w:themeFill="accent6"/>
      </w:tcPr>
    </w:tblStylePr>
    <w:tblStylePr w:type="lastRow">
      <w:pPr>
        <w:spacing w:before="0" w:after="0" w:line="240" w:lineRule="auto"/>
      </w:pPr>
      <w:rPr>
        <w:b/>
        <w:bCs/>
      </w:rPr>
      <w:tblPr/>
      <w:tcPr>
        <w:tcBorders>
          <w:top w:val="double" w:sz="6" w:space="0" w:color="FFCE00" w:themeColor="accent6"/>
          <w:left w:val="single" w:sz="8" w:space="0" w:color="FFCE00" w:themeColor="accent6"/>
          <w:bottom w:val="single" w:sz="8" w:space="0" w:color="FFCE00" w:themeColor="accent6"/>
          <w:right w:val="single" w:sz="8" w:space="0" w:color="FFCE00" w:themeColor="accent6"/>
        </w:tcBorders>
      </w:tcPr>
    </w:tblStylePr>
    <w:tblStylePr w:type="firstCol">
      <w:rPr>
        <w:b/>
        <w:bCs/>
      </w:rPr>
    </w:tblStylePr>
    <w:tblStylePr w:type="lastCol">
      <w:rPr>
        <w:b/>
        <w:bCs/>
      </w:rPr>
    </w:tblStylePr>
    <w:tblStylePr w:type="band1Vert">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tblStylePr w:type="band1Horz">
      <w:tblPr/>
      <w:tcPr>
        <w:tcBorders>
          <w:top w:val="single" w:sz="8" w:space="0" w:color="FFCE00" w:themeColor="accent6"/>
          <w:left w:val="single" w:sz="8" w:space="0" w:color="FFCE00" w:themeColor="accent6"/>
          <w:bottom w:val="single" w:sz="8" w:space="0" w:color="FFCE00" w:themeColor="accent6"/>
          <w:right w:val="single" w:sz="8" w:space="0" w:color="FFCE00" w:themeColor="accent6"/>
        </w:tcBorders>
      </w:tcPr>
    </w:tblStylePr>
  </w:style>
  <w:style w:type="table" w:customStyle="1" w:styleId="LightShading1">
    <w:name w:val="Light Shading1"/>
    <w:basedOn w:val="TableNormal"/>
    <w:next w:val="LightShading"/>
    <w:uiPriority w:val="60"/>
    <w:semiHidden/>
    <w:unhideWhenUsed/>
    <w:rsid w:val="008129C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semiHidden/>
    <w:unhideWhenUsed/>
    <w:rsid w:val="008129C3"/>
    <w:rPr>
      <w:color w:val="00654D" w:themeColor="accent1" w:themeShade="BF"/>
    </w:rPr>
    <w:tblPr>
      <w:tblStyleRowBandSize w:val="1"/>
      <w:tblStyleColBandSize w:val="1"/>
      <w:tblBorders>
        <w:top w:val="single" w:sz="8" w:space="0" w:color="008768" w:themeColor="accent1"/>
        <w:bottom w:val="single" w:sz="8" w:space="0" w:color="008768" w:themeColor="accent1"/>
      </w:tblBorders>
    </w:tblPr>
    <w:tblStylePr w:type="firstRow">
      <w:pPr>
        <w:spacing w:before="0" w:after="0" w:line="240" w:lineRule="auto"/>
      </w:pPr>
      <w:rPr>
        <w:b/>
        <w:bCs/>
      </w:rPr>
      <w:tblPr/>
      <w:tcPr>
        <w:tcBorders>
          <w:top w:val="single" w:sz="8" w:space="0" w:color="008768" w:themeColor="accent1"/>
          <w:left w:val="nil"/>
          <w:bottom w:val="single" w:sz="8" w:space="0" w:color="008768" w:themeColor="accent1"/>
          <w:right w:val="nil"/>
          <w:insideH w:val="nil"/>
          <w:insideV w:val="nil"/>
        </w:tcBorders>
      </w:tcPr>
    </w:tblStylePr>
    <w:tblStylePr w:type="lastRow">
      <w:pPr>
        <w:spacing w:before="0" w:after="0" w:line="240" w:lineRule="auto"/>
      </w:pPr>
      <w:rPr>
        <w:b/>
        <w:bCs/>
      </w:rPr>
      <w:tblPr/>
      <w:tcPr>
        <w:tcBorders>
          <w:top w:val="single" w:sz="8" w:space="0" w:color="008768" w:themeColor="accent1"/>
          <w:left w:val="nil"/>
          <w:bottom w:val="single" w:sz="8" w:space="0" w:color="0087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E9" w:themeFill="accent1" w:themeFillTint="3F"/>
      </w:tcPr>
    </w:tblStylePr>
    <w:tblStylePr w:type="band1Horz">
      <w:tblPr/>
      <w:tcPr>
        <w:tcBorders>
          <w:left w:val="nil"/>
          <w:right w:val="nil"/>
          <w:insideH w:val="nil"/>
          <w:insideV w:val="nil"/>
        </w:tcBorders>
        <w:shd w:val="clear" w:color="auto" w:fill="A2FFE9" w:themeFill="accent1" w:themeFillTint="3F"/>
      </w:tcPr>
    </w:tblStylePr>
  </w:style>
  <w:style w:type="table" w:customStyle="1" w:styleId="LightShading-Accent21">
    <w:name w:val="Light Shading - Accent 21"/>
    <w:basedOn w:val="TableNormal"/>
    <w:next w:val="LightShading-Accent2"/>
    <w:uiPriority w:val="60"/>
    <w:semiHidden/>
    <w:unhideWhenUsed/>
    <w:rsid w:val="008129C3"/>
    <w:rPr>
      <w:color w:val="00272E" w:themeColor="accent2" w:themeShade="BF"/>
    </w:rPr>
    <w:tblPr>
      <w:tblStyleRowBandSize w:val="1"/>
      <w:tblStyleColBandSize w:val="1"/>
      <w:tblBorders>
        <w:top w:val="single" w:sz="8" w:space="0" w:color="00353E" w:themeColor="accent2"/>
        <w:bottom w:val="single" w:sz="8" w:space="0" w:color="00353E" w:themeColor="accent2"/>
      </w:tblBorders>
    </w:tblPr>
    <w:tblStylePr w:type="firstRow">
      <w:pPr>
        <w:spacing w:before="0" w:after="0" w:line="240" w:lineRule="auto"/>
      </w:pPr>
      <w:rPr>
        <w:b/>
        <w:bCs/>
      </w:rPr>
      <w:tblPr/>
      <w:tcPr>
        <w:tcBorders>
          <w:top w:val="single" w:sz="8" w:space="0" w:color="00353E" w:themeColor="accent2"/>
          <w:left w:val="nil"/>
          <w:bottom w:val="single" w:sz="8" w:space="0" w:color="00353E" w:themeColor="accent2"/>
          <w:right w:val="nil"/>
          <w:insideH w:val="nil"/>
          <w:insideV w:val="nil"/>
        </w:tcBorders>
      </w:tcPr>
    </w:tblStylePr>
    <w:tblStylePr w:type="lastRow">
      <w:pPr>
        <w:spacing w:before="0" w:after="0" w:line="240" w:lineRule="auto"/>
      </w:pPr>
      <w:rPr>
        <w:b/>
        <w:bCs/>
      </w:rPr>
      <w:tblPr/>
      <w:tcPr>
        <w:tcBorders>
          <w:top w:val="single" w:sz="8" w:space="0" w:color="00353E" w:themeColor="accent2"/>
          <w:left w:val="nil"/>
          <w:bottom w:val="single" w:sz="8" w:space="0" w:color="00353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EFF" w:themeFill="accent2" w:themeFillTint="3F"/>
      </w:tcPr>
    </w:tblStylePr>
    <w:tblStylePr w:type="band1Horz">
      <w:tblPr/>
      <w:tcPr>
        <w:tcBorders>
          <w:left w:val="nil"/>
          <w:right w:val="nil"/>
          <w:insideH w:val="nil"/>
          <w:insideV w:val="nil"/>
        </w:tcBorders>
        <w:shd w:val="clear" w:color="auto" w:fill="90EEFF" w:themeFill="accent2" w:themeFillTint="3F"/>
      </w:tcPr>
    </w:tblStylePr>
  </w:style>
  <w:style w:type="table" w:customStyle="1" w:styleId="LightShading-Accent31">
    <w:name w:val="Light Shading - Accent 31"/>
    <w:basedOn w:val="TableNormal"/>
    <w:next w:val="LightShading-Accent3"/>
    <w:uiPriority w:val="60"/>
    <w:semiHidden/>
    <w:unhideWhenUsed/>
    <w:rsid w:val="008129C3"/>
    <w:rPr>
      <w:color w:val="88A531" w:themeColor="accent3" w:themeShade="BF"/>
    </w:rPr>
    <w:tblPr>
      <w:tblStyleRowBandSize w:val="1"/>
      <w:tblStyleColBandSize w:val="1"/>
      <w:tblBorders>
        <w:top w:val="single" w:sz="8" w:space="0" w:color="AECC53" w:themeColor="accent3"/>
        <w:bottom w:val="single" w:sz="8" w:space="0" w:color="AECC53" w:themeColor="accent3"/>
      </w:tblBorders>
    </w:tblPr>
    <w:tblStylePr w:type="firstRow">
      <w:pPr>
        <w:spacing w:before="0" w:after="0" w:line="240" w:lineRule="auto"/>
      </w:pPr>
      <w:rPr>
        <w:b/>
        <w:bCs/>
      </w:rPr>
      <w:tblPr/>
      <w:tcPr>
        <w:tcBorders>
          <w:top w:val="single" w:sz="8" w:space="0" w:color="AECC53" w:themeColor="accent3"/>
          <w:left w:val="nil"/>
          <w:bottom w:val="single" w:sz="8" w:space="0" w:color="AECC53" w:themeColor="accent3"/>
          <w:right w:val="nil"/>
          <w:insideH w:val="nil"/>
          <w:insideV w:val="nil"/>
        </w:tcBorders>
      </w:tcPr>
    </w:tblStylePr>
    <w:tblStylePr w:type="lastRow">
      <w:pPr>
        <w:spacing w:before="0" w:after="0" w:line="240" w:lineRule="auto"/>
      </w:pPr>
      <w:rPr>
        <w:b/>
        <w:bCs/>
      </w:rPr>
      <w:tblPr/>
      <w:tcPr>
        <w:tcBorders>
          <w:top w:val="single" w:sz="8" w:space="0" w:color="AECC53" w:themeColor="accent3"/>
          <w:left w:val="nil"/>
          <w:bottom w:val="single" w:sz="8" w:space="0" w:color="AECC5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2D4" w:themeFill="accent3" w:themeFillTint="3F"/>
      </w:tcPr>
    </w:tblStylePr>
    <w:tblStylePr w:type="band1Horz">
      <w:tblPr/>
      <w:tcPr>
        <w:tcBorders>
          <w:left w:val="nil"/>
          <w:right w:val="nil"/>
          <w:insideH w:val="nil"/>
          <w:insideV w:val="nil"/>
        </w:tcBorders>
        <w:shd w:val="clear" w:color="auto" w:fill="EAF2D4" w:themeFill="accent3" w:themeFillTint="3F"/>
      </w:tcPr>
    </w:tblStylePr>
  </w:style>
  <w:style w:type="table" w:customStyle="1" w:styleId="LightShading-Accent41">
    <w:name w:val="Light Shading - Accent 41"/>
    <w:basedOn w:val="TableNormal"/>
    <w:next w:val="LightShading-Accent4"/>
    <w:uiPriority w:val="60"/>
    <w:semiHidden/>
    <w:unhideWhenUsed/>
    <w:rsid w:val="008129C3"/>
    <w:rPr>
      <w:color w:val="AB1D0E" w:themeColor="accent4" w:themeShade="BF"/>
    </w:rPr>
    <w:tblPr>
      <w:tblStyleRowBandSize w:val="1"/>
      <w:tblStyleColBandSize w:val="1"/>
      <w:tblBorders>
        <w:top w:val="single" w:sz="8" w:space="0" w:color="E52713" w:themeColor="accent4"/>
        <w:bottom w:val="single" w:sz="8" w:space="0" w:color="E52713" w:themeColor="accent4"/>
      </w:tblBorders>
    </w:tblPr>
    <w:tblStylePr w:type="firstRow">
      <w:pPr>
        <w:spacing w:before="0" w:after="0" w:line="240" w:lineRule="auto"/>
      </w:pPr>
      <w:rPr>
        <w:b/>
        <w:bCs/>
      </w:rPr>
      <w:tblPr/>
      <w:tcPr>
        <w:tcBorders>
          <w:top w:val="single" w:sz="8" w:space="0" w:color="E52713" w:themeColor="accent4"/>
          <w:left w:val="nil"/>
          <w:bottom w:val="single" w:sz="8" w:space="0" w:color="E52713" w:themeColor="accent4"/>
          <w:right w:val="nil"/>
          <w:insideH w:val="nil"/>
          <w:insideV w:val="nil"/>
        </w:tcBorders>
      </w:tcPr>
    </w:tblStylePr>
    <w:tblStylePr w:type="lastRow">
      <w:pPr>
        <w:spacing w:before="0" w:after="0" w:line="240" w:lineRule="auto"/>
      </w:pPr>
      <w:rPr>
        <w:b/>
        <w:bCs/>
      </w:rPr>
      <w:tblPr/>
      <w:tcPr>
        <w:tcBorders>
          <w:top w:val="single" w:sz="8" w:space="0" w:color="E52713" w:themeColor="accent4"/>
          <w:left w:val="nil"/>
          <w:bottom w:val="single" w:sz="8" w:space="0" w:color="E5271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8C2" w:themeFill="accent4" w:themeFillTint="3F"/>
      </w:tcPr>
    </w:tblStylePr>
    <w:tblStylePr w:type="band1Horz">
      <w:tblPr/>
      <w:tcPr>
        <w:tcBorders>
          <w:left w:val="nil"/>
          <w:right w:val="nil"/>
          <w:insideH w:val="nil"/>
          <w:insideV w:val="nil"/>
        </w:tcBorders>
        <w:shd w:val="clear" w:color="auto" w:fill="FAC8C2" w:themeFill="accent4" w:themeFillTint="3F"/>
      </w:tcPr>
    </w:tblStylePr>
  </w:style>
  <w:style w:type="table" w:customStyle="1" w:styleId="LightShading-Accent51">
    <w:name w:val="Light Shading - Accent 51"/>
    <w:basedOn w:val="TableNormal"/>
    <w:next w:val="LightShading-Accent5"/>
    <w:uiPriority w:val="60"/>
    <w:semiHidden/>
    <w:unhideWhenUsed/>
    <w:rsid w:val="008129C3"/>
    <w:rPr>
      <w:color w:val="007374" w:themeColor="accent5" w:themeShade="BF"/>
    </w:rPr>
    <w:tblPr>
      <w:tblStyleRowBandSize w:val="1"/>
      <w:tblStyleColBandSize w:val="1"/>
      <w:tblBorders>
        <w:top w:val="single" w:sz="8" w:space="0" w:color="009A9B" w:themeColor="accent5"/>
        <w:bottom w:val="single" w:sz="8" w:space="0" w:color="009A9B" w:themeColor="accent5"/>
      </w:tblBorders>
    </w:tblPr>
    <w:tblStylePr w:type="firstRow">
      <w:pPr>
        <w:spacing w:before="0" w:after="0" w:line="240" w:lineRule="auto"/>
      </w:pPr>
      <w:rPr>
        <w:b/>
        <w:bCs/>
      </w:rPr>
      <w:tblPr/>
      <w:tcPr>
        <w:tcBorders>
          <w:top w:val="single" w:sz="8" w:space="0" w:color="009A9B" w:themeColor="accent5"/>
          <w:left w:val="nil"/>
          <w:bottom w:val="single" w:sz="8" w:space="0" w:color="009A9B" w:themeColor="accent5"/>
          <w:right w:val="nil"/>
          <w:insideH w:val="nil"/>
          <w:insideV w:val="nil"/>
        </w:tcBorders>
      </w:tcPr>
    </w:tblStylePr>
    <w:tblStylePr w:type="lastRow">
      <w:pPr>
        <w:spacing w:before="0" w:after="0" w:line="240" w:lineRule="auto"/>
      </w:pPr>
      <w:rPr>
        <w:b/>
        <w:bCs/>
      </w:rPr>
      <w:tblPr/>
      <w:tcPr>
        <w:tcBorders>
          <w:top w:val="single" w:sz="8" w:space="0" w:color="009A9B" w:themeColor="accent5"/>
          <w:left w:val="nil"/>
          <w:bottom w:val="single" w:sz="8" w:space="0" w:color="009A9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EFF" w:themeFill="accent5" w:themeFillTint="3F"/>
      </w:tcPr>
    </w:tblStylePr>
    <w:tblStylePr w:type="band1Horz">
      <w:tblPr/>
      <w:tcPr>
        <w:tcBorders>
          <w:left w:val="nil"/>
          <w:right w:val="nil"/>
          <w:insideH w:val="nil"/>
          <w:insideV w:val="nil"/>
        </w:tcBorders>
        <w:shd w:val="clear" w:color="auto" w:fill="A7FEFF" w:themeFill="accent5" w:themeFillTint="3F"/>
      </w:tcPr>
    </w:tblStylePr>
  </w:style>
  <w:style w:type="table" w:customStyle="1" w:styleId="LightShading-Accent61">
    <w:name w:val="Light Shading - Accent 61"/>
    <w:basedOn w:val="TableNormal"/>
    <w:next w:val="LightShading-Accent6"/>
    <w:uiPriority w:val="60"/>
    <w:semiHidden/>
    <w:unhideWhenUsed/>
    <w:rsid w:val="008129C3"/>
    <w:rPr>
      <w:color w:val="BF9A00" w:themeColor="accent6" w:themeShade="BF"/>
    </w:rPr>
    <w:tblPr>
      <w:tblStyleRowBandSize w:val="1"/>
      <w:tblStyleColBandSize w:val="1"/>
      <w:tblBorders>
        <w:top w:val="single" w:sz="8" w:space="0" w:color="FFCE00" w:themeColor="accent6"/>
        <w:bottom w:val="single" w:sz="8" w:space="0" w:color="FFCE00" w:themeColor="accent6"/>
      </w:tblBorders>
    </w:tblPr>
    <w:tblStylePr w:type="firstRow">
      <w:pPr>
        <w:spacing w:before="0" w:after="0" w:line="240" w:lineRule="auto"/>
      </w:pPr>
      <w:rPr>
        <w:b/>
        <w:bCs/>
      </w:rPr>
      <w:tblPr/>
      <w:tcPr>
        <w:tcBorders>
          <w:top w:val="single" w:sz="8" w:space="0" w:color="FFCE00" w:themeColor="accent6"/>
          <w:left w:val="nil"/>
          <w:bottom w:val="single" w:sz="8" w:space="0" w:color="FFCE00" w:themeColor="accent6"/>
          <w:right w:val="nil"/>
          <w:insideH w:val="nil"/>
          <w:insideV w:val="nil"/>
        </w:tcBorders>
      </w:tcPr>
    </w:tblStylePr>
    <w:tblStylePr w:type="lastRow">
      <w:pPr>
        <w:spacing w:before="0" w:after="0" w:line="240" w:lineRule="auto"/>
      </w:pPr>
      <w:rPr>
        <w:b/>
        <w:bCs/>
      </w:rPr>
      <w:tblPr/>
      <w:tcPr>
        <w:tcBorders>
          <w:top w:val="single" w:sz="8" w:space="0" w:color="FFCE00" w:themeColor="accent6"/>
          <w:left w:val="nil"/>
          <w:bottom w:val="single" w:sz="8" w:space="0" w:color="FFCE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left w:val="nil"/>
          <w:right w:val="nil"/>
          <w:insideH w:val="nil"/>
          <w:insideV w:val="nil"/>
        </w:tcBorders>
        <w:shd w:val="clear" w:color="auto" w:fill="FFF2C0" w:themeFill="accent6" w:themeFillTint="3F"/>
      </w:tcPr>
    </w:tblStylePr>
  </w:style>
  <w:style w:type="table" w:customStyle="1" w:styleId="MediumGrid11">
    <w:name w:val="Medium Grid 11"/>
    <w:basedOn w:val="TableNormal"/>
    <w:next w:val="MediumGrid1"/>
    <w:uiPriority w:val="67"/>
    <w:semiHidden/>
    <w:unhideWhenUsed/>
    <w:rsid w:val="008129C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67"/>
    <w:semiHidden/>
    <w:unhideWhenUsed/>
    <w:rsid w:val="008129C3"/>
    <w:tblPr>
      <w:tblStyleRowBandSize w:val="1"/>
      <w:tblStyleColBandSize w:val="1"/>
      <w:tbl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single" w:sz="8" w:space="0" w:color="00E5B0" w:themeColor="accent1" w:themeTint="BF"/>
        <w:insideV w:val="single" w:sz="8" w:space="0" w:color="00E5B0" w:themeColor="accent1" w:themeTint="BF"/>
      </w:tblBorders>
    </w:tblPr>
    <w:tcPr>
      <w:shd w:val="clear" w:color="auto" w:fill="A2FFE9" w:themeFill="accent1" w:themeFillTint="3F"/>
    </w:tcPr>
    <w:tblStylePr w:type="firstRow">
      <w:rPr>
        <w:b/>
        <w:bCs/>
      </w:rPr>
    </w:tblStylePr>
    <w:tblStylePr w:type="lastRow">
      <w:rPr>
        <w:b/>
        <w:bCs/>
      </w:rPr>
      <w:tblPr/>
      <w:tcPr>
        <w:tcBorders>
          <w:top w:val="single" w:sz="18" w:space="0" w:color="00E5B0" w:themeColor="accent1" w:themeTint="BF"/>
        </w:tcBorders>
      </w:tcPr>
    </w:tblStylePr>
    <w:tblStylePr w:type="firstCol">
      <w:rPr>
        <w:b/>
        <w:bCs/>
      </w:rPr>
    </w:tblStylePr>
    <w:tblStylePr w:type="lastCol">
      <w:rPr>
        <w:b/>
        <w:bCs/>
      </w:rPr>
    </w:tblStylePr>
    <w:tblStylePr w:type="band1Vert">
      <w:tblPr/>
      <w:tcPr>
        <w:shd w:val="clear" w:color="auto" w:fill="44FFD3" w:themeFill="accent1" w:themeFillTint="7F"/>
      </w:tcPr>
    </w:tblStylePr>
    <w:tblStylePr w:type="band1Horz">
      <w:tblPr/>
      <w:tcPr>
        <w:shd w:val="clear" w:color="auto" w:fill="44FFD3" w:themeFill="accent1" w:themeFillTint="7F"/>
      </w:tcPr>
    </w:tblStylePr>
  </w:style>
  <w:style w:type="table" w:customStyle="1" w:styleId="MediumGrid1-Accent21">
    <w:name w:val="Medium Grid 1 - Accent 21"/>
    <w:basedOn w:val="TableNormal"/>
    <w:next w:val="MediumGrid1-Accent2"/>
    <w:uiPriority w:val="67"/>
    <w:semiHidden/>
    <w:unhideWhenUsed/>
    <w:rsid w:val="008129C3"/>
    <w:tblPr>
      <w:tblStyleRowBandSize w:val="1"/>
      <w:tblStyleColBandSize w:val="1"/>
      <w:tbl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single" w:sz="8" w:space="0" w:color="0094AE" w:themeColor="accent2" w:themeTint="BF"/>
        <w:insideV w:val="single" w:sz="8" w:space="0" w:color="0094AE" w:themeColor="accent2" w:themeTint="BF"/>
      </w:tblBorders>
    </w:tblPr>
    <w:tcPr>
      <w:shd w:val="clear" w:color="auto" w:fill="90EEFF" w:themeFill="accent2" w:themeFillTint="3F"/>
    </w:tcPr>
    <w:tblStylePr w:type="firstRow">
      <w:rPr>
        <w:b/>
        <w:bCs/>
      </w:rPr>
    </w:tblStylePr>
    <w:tblStylePr w:type="lastRow">
      <w:rPr>
        <w:b/>
        <w:bCs/>
      </w:rPr>
      <w:tblPr/>
      <w:tcPr>
        <w:tcBorders>
          <w:top w:val="single" w:sz="18" w:space="0" w:color="0094AE" w:themeColor="accent2" w:themeTint="BF"/>
        </w:tcBorders>
      </w:tcPr>
    </w:tblStylePr>
    <w:tblStylePr w:type="firstCol">
      <w:rPr>
        <w:b/>
        <w:bCs/>
      </w:rPr>
    </w:tblStylePr>
    <w:tblStylePr w:type="lastCol">
      <w:rPr>
        <w:b/>
        <w:bCs/>
      </w:rPr>
    </w:tblStylePr>
    <w:tblStylePr w:type="band1Vert">
      <w:tblPr/>
      <w:tcPr>
        <w:shd w:val="clear" w:color="auto" w:fill="1FDDFF" w:themeFill="accent2" w:themeFillTint="7F"/>
      </w:tcPr>
    </w:tblStylePr>
    <w:tblStylePr w:type="band1Horz">
      <w:tblPr/>
      <w:tcPr>
        <w:shd w:val="clear" w:color="auto" w:fill="1FDDFF" w:themeFill="accent2" w:themeFillTint="7F"/>
      </w:tcPr>
    </w:tblStylePr>
  </w:style>
  <w:style w:type="table" w:customStyle="1" w:styleId="MediumGrid1-Accent31">
    <w:name w:val="Medium Grid 1 - Accent 31"/>
    <w:basedOn w:val="TableNormal"/>
    <w:next w:val="MediumGrid1-Accent3"/>
    <w:uiPriority w:val="67"/>
    <w:semiHidden/>
    <w:unhideWhenUsed/>
    <w:rsid w:val="008129C3"/>
    <w:tblPr>
      <w:tblStyleRowBandSize w:val="1"/>
      <w:tblStyleColBandSize w:val="1"/>
      <w:tbl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single" w:sz="8" w:space="0" w:color="C1D87D" w:themeColor="accent3" w:themeTint="BF"/>
        <w:insideV w:val="single" w:sz="8" w:space="0" w:color="C1D87D" w:themeColor="accent3" w:themeTint="BF"/>
      </w:tblBorders>
    </w:tblPr>
    <w:tcPr>
      <w:shd w:val="clear" w:color="auto" w:fill="EAF2D4" w:themeFill="accent3" w:themeFillTint="3F"/>
    </w:tcPr>
    <w:tblStylePr w:type="firstRow">
      <w:rPr>
        <w:b/>
        <w:bCs/>
      </w:rPr>
    </w:tblStylePr>
    <w:tblStylePr w:type="lastRow">
      <w:rPr>
        <w:b/>
        <w:bCs/>
      </w:rPr>
      <w:tblPr/>
      <w:tcPr>
        <w:tcBorders>
          <w:top w:val="single" w:sz="18" w:space="0" w:color="C1D87D" w:themeColor="accent3" w:themeTint="BF"/>
        </w:tcBorders>
      </w:tcPr>
    </w:tblStylePr>
    <w:tblStylePr w:type="firstCol">
      <w:rPr>
        <w:b/>
        <w:bCs/>
      </w:rPr>
    </w:tblStylePr>
    <w:tblStylePr w:type="lastCol">
      <w:rPr>
        <w:b/>
        <w:bCs/>
      </w:rPr>
    </w:tblStylePr>
    <w:tblStylePr w:type="band1Vert">
      <w:tblPr/>
      <w:tcPr>
        <w:shd w:val="clear" w:color="auto" w:fill="D6E5A9" w:themeFill="accent3" w:themeFillTint="7F"/>
      </w:tcPr>
    </w:tblStylePr>
    <w:tblStylePr w:type="band1Horz">
      <w:tblPr/>
      <w:tcPr>
        <w:shd w:val="clear" w:color="auto" w:fill="D6E5A9" w:themeFill="accent3" w:themeFillTint="7F"/>
      </w:tcPr>
    </w:tblStylePr>
  </w:style>
  <w:style w:type="table" w:customStyle="1" w:styleId="MediumGrid1-Accent41">
    <w:name w:val="Medium Grid 1 - Accent 41"/>
    <w:basedOn w:val="TableNormal"/>
    <w:next w:val="MediumGrid1-Accent4"/>
    <w:uiPriority w:val="67"/>
    <w:semiHidden/>
    <w:unhideWhenUsed/>
    <w:rsid w:val="008129C3"/>
    <w:tblPr>
      <w:tblStyleRowBandSize w:val="1"/>
      <w:tblStyleColBandSize w:val="1"/>
      <w:tbl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single" w:sz="8" w:space="0" w:color="F05949" w:themeColor="accent4" w:themeTint="BF"/>
        <w:insideV w:val="single" w:sz="8" w:space="0" w:color="F05949" w:themeColor="accent4" w:themeTint="BF"/>
      </w:tblBorders>
    </w:tblPr>
    <w:tcPr>
      <w:shd w:val="clear" w:color="auto" w:fill="FAC8C2" w:themeFill="accent4" w:themeFillTint="3F"/>
    </w:tcPr>
    <w:tblStylePr w:type="firstRow">
      <w:rPr>
        <w:b/>
        <w:bCs/>
      </w:rPr>
    </w:tblStylePr>
    <w:tblStylePr w:type="lastRow">
      <w:rPr>
        <w:b/>
        <w:bCs/>
      </w:rPr>
      <w:tblPr/>
      <w:tcPr>
        <w:tcBorders>
          <w:top w:val="single" w:sz="18" w:space="0" w:color="F05949" w:themeColor="accent4" w:themeTint="BF"/>
        </w:tcBorders>
      </w:tcPr>
    </w:tblStylePr>
    <w:tblStylePr w:type="firstCol">
      <w:rPr>
        <w:b/>
        <w:bCs/>
      </w:rPr>
    </w:tblStylePr>
    <w:tblStylePr w:type="lastCol">
      <w:rPr>
        <w:b/>
        <w:bCs/>
      </w:rPr>
    </w:tblStylePr>
    <w:tblStylePr w:type="band1Vert">
      <w:tblPr/>
      <w:tcPr>
        <w:shd w:val="clear" w:color="auto" w:fill="F59086" w:themeFill="accent4" w:themeFillTint="7F"/>
      </w:tcPr>
    </w:tblStylePr>
    <w:tblStylePr w:type="band1Horz">
      <w:tblPr/>
      <w:tcPr>
        <w:shd w:val="clear" w:color="auto" w:fill="F59086" w:themeFill="accent4" w:themeFillTint="7F"/>
      </w:tcPr>
    </w:tblStylePr>
  </w:style>
  <w:style w:type="table" w:customStyle="1" w:styleId="MediumGrid1-Accent51">
    <w:name w:val="Medium Grid 1 - Accent 51"/>
    <w:basedOn w:val="TableNormal"/>
    <w:next w:val="MediumGrid1-Accent5"/>
    <w:uiPriority w:val="67"/>
    <w:semiHidden/>
    <w:unhideWhenUsed/>
    <w:rsid w:val="008129C3"/>
    <w:tblPr>
      <w:tblStyleRowBandSize w:val="1"/>
      <w:tblStyleColBandSize w:val="1"/>
      <w:tbl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single" w:sz="8" w:space="0" w:color="00F2F4" w:themeColor="accent5" w:themeTint="BF"/>
        <w:insideV w:val="single" w:sz="8" w:space="0" w:color="00F2F4" w:themeColor="accent5" w:themeTint="BF"/>
      </w:tblBorders>
    </w:tblPr>
    <w:tcPr>
      <w:shd w:val="clear" w:color="auto" w:fill="A7FEFF" w:themeFill="accent5" w:themeFillTint="3F"/>
    </w:tcPr>
    <w:tblStylePr w:type="firstRow">
      <w:rPr>
        <w:b/>
        <w:bCs/>
      </w:rPr>
    </w:tblStylePr>
    <w:tblStylePr w:type="lastRow">
      <w:rPr>
        <w:b/>
        <w:bCs/>
      </w:rPr>
      <w:tblPr/>
      <w:tcPr>
        <w:tcBorders>
          <w:top w:val="single" w:sz="18" w:space="0" w:color="00F2F4" w:themeColor="accent5" w:themeTint="BF"/>
        </w:tcBorders>
      </w:tcPr>
    </w:tblStylePr>
    <w:tblStylePr w:type="firstCol">
      <w:rPr>
        <w:b/>
        <w:bCs/>
      </w:rPr>
    </w:tblStylePr>
    <w:tblStylePr w:type="lastCol">
      <w:rPr>
        <w:b/>
        <w:bCs/>
      </w:rPr>
    </w:tblStylePr>
    <w:tblStylePr w:type="band1Vert">
      <w:tblPr/>
      <w:tcPr>
        <w:shd w:val="clear" w:color="auto" w:fill="4EFDFF" w:themeFill="accent5" w:themeFillTint="7F"/>
      </w:tcPr>
    </w:tblStylePr>
    <w:tblStylePr w:type="band1Horz">
      <w:tblPr/>
      <w:tcPr>
        <w:shd w:val="clear" w:color="auto" w:fill="4EFDFF" w:themeFill="accent5" w:themeFillTint="7F"/>
      </w:tcPr>
    </w:tblStylePr>
  </w:style>
  <w:style w:type="table" w:customStyle="1" w:styleId="MediumGrid1-Accent61">
    <w:name w:val="Medium Grid 1 - Accent 61"/>
    <w:basedOn w:val="TableNormal"/>
    <w:next w:val="MediumGrid1-Accent6"/>
    <w:uiPriority w:val="67"/>
    <w:semiHidden/>
    <w:unhideWhenUsed/>
    <w:rsid w:val="008129C3"/>
    <w:tblPr>
      <w:tblStyleRowBandSize w:val="1"/>
      <w:tblStyleColBandSize w:val="1"/>
      <w:tbl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single" w:sz="8" w:space="0" w:color="FFDA40" w:themeColor="accent6" w:themeTint="BF"/>
        <w:insideV w:val="single" w:sz="8" w:space="0" w:color="FFDA40" w:themeColor="accent6" w:themeTint="BF"/>
      </w:tblBorders>
    </w:tblPr>
    <w:tcPr>
      <w:shd w:val="clear" w:color="auto" w:fill="FFF2C0" w:themeFill="accent6" w:themeFillTint="3F"/>
    </w:tcPr>
    <w:tblStylePr w:type="firstRow">
      <w:rPr>
        <w:b/>
        <w:bCs/>
      </w:rPr>
    </w:tblStylePr>
    <w:tblStylePr w:type="lastRow">
      <w:rPr>
        <w:b/>
        <w:bCs/>
      </w:rPr>
      <w:tblPr/>
      <w:tcPr>
        <w:tcBorders>
          <w:top w:val="single" w:sz="18" w:space="0" w:color="FFDA40" w:themeColor="accent6" w:themeTint="BF"/>
        </w:tcBorders>
      </w:tcPr>
    </w:tblStylePr>
    <w:tblStylePr w:type="firstCol">
      <w:rPr>
        <w:b/>
        <w:bCs/>
      </w:rPr>
    </w:tblStylePr>
    <w:tblStylePr w:type="lastCol">
      <w:rPr>
        <w:b/>
        <w:bCs/>
      </w:rPr>
    </w:tblStylePr>
    <w:tblStylePr w:type="band1Vert">
      <w:tblPr/>
      <w:tcPr>
        <w:shd w:val="clear" w:color="auto" w:fill="FFE680" w:themeFill="accent6" w:themeFillTint="7F"/>
      </w:tcPr>
    </w:tblStylePr>
    <w:tblStylePr w:type="band1Horz">
      <w:tblPr/>
      <w:tcPr>
        <w:shd w:val="clear" w:color="auto" w:fill="FFE680" w:themeFill="accent6" w:themeFillTint="7F"/>
      </w:tcPr>
    </w:tblStylePr>
  </w:style>
  <w:style w:type="table" w:customStyle="1" w:styleId="MediumGrid21">
    <w:name w:val="Medium Grid 21"/>
    <w:basedOn w:val="TableNormal"/>
    <w:next w:val="MediumGrid2"/>
    <w:uiPriority w:val="68"/>
    <w:semiHidden/>
    <w:unhideWhenUsed/>
    <w:rsid w:val="008129C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68"/>
    <w:semiHidden/>
    <w:unhideWhenUsed/>
    <w:rsid w:val="008129C3"/>
    <w:rPr>
      <w:rFonts w:asciiTheme="majorHAnsi" w:eastAsiaTheme="majorEastAsia" w:hAnsiTheme="majorHAnsi" w:cstheme="majorBidi"/>
      <w:color w:val="000000" w:themeColor="text1"/>
    </w:rPr>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insideH w:val="single" w:sz="8" w:space="0" w:color="008768" w:themeColor="accent1"/>
        <w:insideV w:val="single" w:sz="8" w:space="0" w:color="008768" w:themeColor="accent1"/>
      </w:tblBorders>
    </w:tblPr>
    <w:tcPr>
      <w:shd w:val="clear" w:color="auto" w:fill="A2FFE9" w:themeFill="accent1" w:themeFillTint="3F"/>
    </w:tcPr>
    <w:tblStylePr w:type="firstRow">
      <w:rPr>
        <w:b/>
        <w:bCs/>
        <w:color w:val="000000" w:themeColor="text1"/>
      </w:rPr>
      <w:tblPr/>
      <w:tcPr>
        <w:shd w:val="clear" w:color="auto" w:fill="DAFF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FED" w:themeFill="accent1" w:themeFillTint="33"/>
      </w:tcPr>
    </w:tblStylePr>
    <w:tblStylePr w:type="band1Vert">
      <w:tblPr/>
      <w:tcPr>
        <w:shd w:val="clear" w:color="auto" w:fill="44FFD3" w:themeFill="accent1" w:themeFillTint="7F"/>
      </w:tcPr>
    </w:tblStylePr>
    <w:tblStylePr w:type="band1Horz">
      <w:tblPr/>
      <w:tcPr>
        <w:tcBorders>
          <w:insideH w:val="single" w:sz="6" w:space="0" w:color="008768" w:themeColor="accent1"/>
          <w:insideV w:val="single" w:sz="6" w:space="0" w:color="008768" w:themeColor="accent1"/>
        </w:tcBorders>
        <w:shd w:val="clear" w:color="auto" w:fill="44FFD3" w:themeFill="accent1"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68"/>
    <w:semiHidden/>
    <w:unhideWhenUsed/>
    <w:rsid w:val="008129C3"/>
    <w:rPr>
      <w:rFonts w:asciiTheme="majorHAnsi" w:eastAsiaTheme="majorEastAsia" w:hAnsiTheme="majorHAnsi" w:cstheme="majorBidi"/>
      <w:color w:val="000000" w:themeColor="text1"/>
    </w:rPr>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insideH w:val="single" w:sz="8" w:space="0" w:color="00353E" w:themeColor="accent2"/>
        <w:insideV w:val="single" w:sz="8" w:space="0" w:color="00353E" w:themeColor="accent2"/>
      </w:tblBorders>
    </w:tblPr>
    <w:tcPr>
      <w:shd w:val="clear" w:color="auto" w:fill="90EEFF" w:themeFill="accent2" w:themeFillTint="3F"/>
    </w:tcPr>
    <w:tblStylePr w:type="firstRow">
      <w:rPr>
        <w:b/>
        <w:bCs/>
        <w:color w:val="000000" w:themeColor="text1"/>
      </w:rPr>
      <w:tblPr/>
      <w:tcPr>
        <w:shd w:val="clear" w:color="auto" w:fill="D3F8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F1FF" w:themeFill="accent2" w:themeFillTint="33"/>
      </w:tcPr>
    </w:tblStylePr>
    <w:tblStylePr w:type="band1Vert">
      <w:tblPr/>
      <w:tcPr>
        <w:shd w:val="clear" w:color="auto" w:fill="1FDDFF" w:themeFill="accent2" w:themeFillTint="7F"/>
      </w:tcPr>
    </w:tblStylePr>
    <w:tblStylePr w:type="band1Horz">
      <w:tblPr/>
      <w:tcPr>
        <w:tcBorders>
          <w:insideH w:val="single" w:sz="6" w:space="0" w:color="00353E" w:themeColor="accent2"/>
          <w:insideV w:val="single" w:sz="6" w:space="0" w:color="00353E" w:themeColor="accent2"/>
        </w:tcBorders>
        <w:shd w:val="clear" w:color="auto" w:fill="1FDDFF" w:themeFill="accent2"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68"/>
    <w:semiHidden/>
    <w:unhideWhenUsed/>
    <w:rsid w:val="008129C3"/>
    <w:rPr>
      <w:rFonts w:asciiTheme="majorHAnsi" w:eastAsiaTheme="majorEastAsia" w:hAnsiTheme="majorHAnsi" w:cstheme="majorBidi"/>
      <w:color w:val="000000" w:themeColor="text1"/>
    </w:rPr>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insideH w:val="single" w:sz="8" w:space="0" w:color="AECC53" w:themeColor="accent3"/>
        <w:insideV w:val="single" w:sz="8" w:space="0" w:color="AECC53" w:themeColor="accent3"/>
      </w:tblBorders>
    </w:tblPr>
    <w:tcPr>
      <w:shd w:val="clear" w:color="auto" w:fill="EAF2D4" w:themeFill="accent3" w:themeFillTint="3F"/>
    </w:tcPr>
    <w:tblStylePr w:type="firstRow">
      <w:rPr>
        <w:b/>
        <w:bCs/>
        <w:color w:val="000000" w:themeColor="text1"/>
      </w:rPr>
      <w:tblPr/>
      <w:tcPr>
        <w:shd w:val="clear" w:color="auto" w:fill="F6FA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4DC" w:themeFill="accent3" w:themeFillTint="33"/>
      </w:tcPr>
    </w:tblStylePr>
    <w:tblStylePr w:type="band1Vert">
      <w:tblPr/>
      <w:tcPr>
        <w:shd w:val="clear" w:color="auto" w:fill="D6E5A9" w:themeFill="accent3" w:themeFillTint="7F"/>
      </w:tcPr>
    </w:tblStylePr>
    <w:tblStylePr w:type="band1Horz">
      <w:tblPr/>
      <w:tcPr>
        <w:tcBorders>
          <w:insideH w:val="single" w:sz="6" w:space="0" w:color="AECC53" w:themeColor="accent3"/>
          <w:insideV w:val="single" w:sz="6" w:space="0" w:color="AECC53" w:themeColor="accent3"/>
        </w:tcBorders>
        <w:shd w:val="clear" w:color="auto" w:fill="D6E5A9" w:themeFill="accent3"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68"/>
    <w:semiHidden/>
    <w:unhideWhenUsed/>
    <w:rsid w:val="008129C3"/>
    <w:rPr>
      <w:rFonts w:asciiTheme="majorHAnsi" w:eastAsiaTheme="majorEastAsia" w:hAnsiTheme="majorHAnsi" w:cstheme="majorBidi"/>
      <w:color w:val="000000" w:themeColor="text1"/>
    </w:rPr>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insideH w:val="single" w:sz="8" w:space="0" w:color="E52713" w:themeColor="accent4"/>
        <w:insideV w:val="single" w:sz="8" w:space="0" w:color="E52713" w:themeColor="accent4"/>
      </w:tblBorders>
    </w:tblPr>
    <w:tcPr>
      <w:shd w:val="clear" w:color="auto" w:fill="FAC8C2" w:themeFill="accent4" w:themeFillTint="3F"/>
    </w:tcPr>
    <w:tblStylePr w:type="firstRow">
      <w:rPr>
        <w:b/>
        <w:bCs/>
        <w:color w:val="000000" w:themeColor="text1"/>
      </w:rPr>
      <w:tblPr/>
      <w:tcPr>
        <w:shd w:val="clear" w:color="auto" w:fill="FDE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2CE" w:themeFill="accent4" w:themeFillTint="33"/>
      </w:tcPr>
    </w:tblStylePr>
    <w:tblStylePr w:type="band1Vert">
      <w:tblPr/>
      <w:tcPr>
        <w:shd w:val="clear" w:color="auto" w:fill="F59086" w:themeFill="accent4" w:themeFillTint="7F"/>
      </w:tcPr>
    </w:tblStylePr>
    <w:tblStylePr w:type="band1Horz">
      <w:tblPr/>
      <w:tcPr>
        <w:tcBorders>
          <w:insideH w:val="single" w:sz="6" w:space="0" w:color="E52713" w:themeColor="accent4"/>
          <w:insideV w:val="single" w:sz="6" w:space="0" w:color="E52713" w:themeColor="accent4"/>
        </w:tcBorders>
        <w:shd w:val="clear" w:color="auto" w:fill="F59086" w:themeFill="accent4"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68"/>
    <w:semiHidden/>
    <w:unhideWhenUsed/>
    <w:rsid w:val="008129C3"/>
    <w:rPr>
      <w:rFonts w:asciiTheme="majorHAnsi" w:eastAsiaTheme="majorEastAsia" w:hAnsiTheme="majorHAnsi" w:cstheme="majorBidi"/>
      <w:color w:val="000000" w:themeColor="text1"/>
    </w:rPr>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insideH w:val="single" w:sz="8" w:space="0" w:color="009A9B" w:themeColor="accent5"/>
        <w:insideV w:val="single" w:sz="8" w:space="0" w:color="009A9B" w:themeColor="accent5"/>
      </w:tblBorders>
    </w:tblPr>
    <w:tcPr>
      <w:shd w:val="clear" w:color="auto" w:fill="A7FEFF" w:themeFill="accent5" w:themeFillTint="3F"/>
    </w:tcPr>
    <w:tblStylePr w:type="firstRow">
      <w:rPr>
        <w:b/>
        <w:bCs/>
        <w:color w:val="000000" w:themeColor="text1"/>
      </w:rPr>
      <w:tblPr/>
      <w:tcPr>
        <w:shd w:val="clear" w:color="auto" w:fill="DCFE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FF" w:themeFill="accent5" w:themeFillTint="33"/>
      </w:tcPr>
    </w:tblStylePr>
    <w:tblStylePr w:type="band1Vert">
      <w:tblPr/>
      <w:tcPr>
        <w:shd w:val="clear" w:color="auto" w:fill="4EFDFF" w:themeFill="accent5" w:themeFillTint="7F"/>
      </w:tcPr>
    </w:tblStylePr>
    <w:tblStylePr w:type="band1Horz">
      <w:tblPr/>
      <w:tcPr>
        <w:tcBorders>
          <w:insideH w:val="single" w:sz="6" w:space="0" w:color="009A9B" w:themeColor="accent5"/>
          <w:insideV w:val="single" w:sz="6" w:space="0" w:color="009A9B" w:themeColor="accent5"/>
        </w:tcBorders>
        <w:shd w:val="clear" w:color="auto" w:fill="4EFDFF" w:themeFill="accent5"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68"/>
    <w:semiHidden/>
    <w:unhideWhenUsed/>
    <w:rsid w:val="008129C3"/>
    <w:rPr>
      <w:rFonts w:asciiTheme="majorHAnsi" w:eastAsiaTheme="majorEastAsia" w:hAnsiTheme="majorHAnsi" w:cstheme="majorBidi"/>
      <w:color w:val="000000" w:themeColor="text1"/>
    </w:rPr>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insideH w:val="single" w:sz="8" w:space="0" w:color="FFCE00" w:themeColor="accent6"/>
        <w:insideV w:val="single" w:sz="8" w:space="0" w:color="FFCE00" w:themeColor="accent6"/>
      </w:tblBorders>
    </w:tblPr>
    <w:tcPr>
      <w:shd w:val="clear" w:color="auto" w:fill="FFF2C0" w:themeFill="accent6" w:themeFillTint="3F"/>
    </w:tcPr>
    <w:tblStylePr w:type="firstRow">
      <w:rPr>
        <w:b/>
        <w:bCs/>
        <w:color w:val="000000" w:themeColor="text1"/>
      </w:rPr>
      <w:tblPr/>
      <w:tcPr>
        <w:shd w:val="clear" w:color="auto" w:fill="FFFA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5CC" w:themeFill="accent6" w:themeFillTint="33"/>
      </w:tcPr>
    </w:tblStylePr>
    <w:tblStylePr w:type="band1Vert">
      <w:tblPr/>
      <w:tcPr>
        <w:shd w:val="clear" w:color="auto" w:fill="FFE680" w:themeFill="accent6" w:themeFillTint="7F"/>
      </w:tcPr>
    </w:tblStylePr>
    <w:tblStylePr w:type="band1Horz">
      <w:tblPr/>
      <w:tcPr>
        <w:tcBorders>
          <w:insideH w:val="single" w:sz="6" w:space="0" w:color="FFCE00" w:themeColor="accent6"/>
          <w:insideV w:val="single" w:sz="6" w:space="0" w:color="FFCE00" w:themeColor="accent6"/>
        </w:tcBorders>
        <w:shd w:val="clear" w:color="auto" w:fill="FFE680"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next w:val="MediumGrid3"/>
    <w:uiPriority w:val="69"/>
    <w:semiHidden/>
    <w:unhideWhenUsed/>
    <w:rsid w:val="008129C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1">
    <w:name w:val="Medium Grid 3 - Accent 11"/>
    <w:basedOn w:val="TableNormal"/>
    <w:next w:val="MediumGrid3-Accent1"/>
    <w:uiPriority w:val="69"/>
    <w:semiHidden/>
    <w:unhideWhenUsed/>
    <w:rsid w:val="008129C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F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7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7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7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7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4FF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4FFD3" w:themeFill="accent1" w:themeFillTint="7F"/>
      </w:tcPr>
    </w:tblStylePr>
  </w:style>
  <w:style w:type="table" w:customStyle="1" w:styleId="MediumGrid3-Accent21">
    <w:name w:val="Medium Grid 3 - Accent 21"/>
    <w:basedOn w:val="TableNormal"/>
    <w:next w:val="MediumGrid3-Accent2"/>
    <w:uiPriority w:val="69"/>
    <w:semiHidden/>
    <w:unhideWhenUsed/>
    <w:rsid w:val="008129C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E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3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3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53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53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FD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FDDFF" w:themeFill="accent2" w:themeFillTint="7F"/>
      </w:tcPr>
    </w:tblStylePr>
  </w:style>
  <w:style w:type="table" w:customStyle="1" w:styleId="MediumGrid3-Accent31">
    <w:name w:val="Medium Grid 3 - Accent 31"/>
    <w:basedOn w:val="TableNormal"/>
    <w:next w:val="MediumGrid3-Accent3"/>
    <w:uiPriority w:val="69"/>
    <w:semiHidden/>
    <w:unhideWhenUsed/>
    <w:rsid w:val="008129C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2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CC5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CC5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CC5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CC5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5A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5A9" w:themeFill="accent3" w:themeFillTint="7F"/>
      </w:tcPr>
    </w:tblStylePr>
  </w:style>
  <w:style w:type="table" w:customStyle="1" w:styleId="MediumGrid3-Accent41">
    <w:name w:val="Medium Grid 3 - Accent 41"/>
    <w:basedOn w:val="TableNormal"/>
    <w:next w:val="MediumGrid3-Accent4"/>
    <w:uiPriority w:val="69"/>
    <w:semiHidden/>
    <w:unhideWhenUsed/>
    <w:rsid w:val="008129C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8C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271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271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271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271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908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9086" w:themeFill="accent4" w:themeFillTint="7F"/>
      </w:tcPr>
    </w:tblStylePr>
  </w:style>
  <w:style w:type="table" w:customStyle="1" w:styleId="MediumGrid3-Accent51">
    <w:name w:val="Medium Grid 3 - Accent 51"/>
    <w:basedOn w:val="TableNormal"/>
    <w:next w:val="MediumGrid3-Accent5"/>
    <w:uiPriority w:val="69"/>
    <w:semiHidden/>
    <w:unhideWhenUsed/>
    <w:rsid w:val="008129C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E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A9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A9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A9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A9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FD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FDFF" w:themeFill="accent5" w:themeFillTint="7F"/>
      </w:tcPr>
    </w:tblStylePr>
  </w:style>
  <w:style w:type="table" w:customStyle="1" w:styleId="MediumGrid3-Accent61">
    <w:name w:val="Medium Grid 3 - Accent 61"/>
    <w:basedOn w:val="TableNormal"/>
    <w:next w:val="MediumGrid3-Accent6"/>
    <w:uiPriority w:val="69"/>
    <w:semiHidden/>
    <w:unhideWhenUsed/>
    <w:rsid w:val="008129C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E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E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E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E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6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680" w:themeFill="accent6" w:themeFillTint="7F"/>
      </w:tcPr>
    </w:tblStylePr>
  </w:style>
  <w:style w:type="table" w:customStyle="1" w:styleId="MediumList11">
    <w:name w:val="Medium List 11"/>
    <w:basedOn w:val="TableNormal"/>
    <w:next w:val="MediumList1"/>
    <w:uiPriority w:val="65"/>
    <w:semiHidden/>
    <w:unhideWhenUsed/>
    <w:rsid w:val="008129C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next w:val="MediumList1-Accent1"/>
    <w:uiPriority w:val="65"/>
    <w:semiHidden/>
    <w:unhideWhenUsed/>
    <w:rsid w:val="008129C3"/>
    <w:rPr>
      <w:color w:val="000000" w:themeColor="text1"/>
    </w:rPr>
    <w:tblPr>
      <w:tblStyleRowBandSize w:val="1"/>
      <w:tblStyleColBandSize w:val="1"/>
      <w:tblBorders>
        <w:top w:val="single" w:sz="8" w:space="0" w:color="008768" w:themeColor="accent1"/>
        <w:bottom w:val="single" w:sz="8" w:space="0" w:color="008768" w:themeColor="accent1"/>
      </w:tblBorders>
    </w:tblPr>
    <w:tblStylePr w:type="firstRow">
      <w:rPr>
        <w:rFonts w:asciiTheme="majorHAnsi" w:eastAsiaTheme="majorEastAsia" w:hAnsiTheme="majorHAnsi" w:cstheme="majorBidi"/>
      </w:rPr>
      <w:tblPr/>
      <w:tcPr>
        <w:tcBorders>
          <w:top w:val="nil"/>
          <w:bottom w:val="single" w:sz="8" w:space="0" w:color="008768" w:themeColor="accent1"/>
        </w:tcBorders>
      </w:tcPr>
    </w:tblStylePr>
    <w:tblStylePr w:type="lastRow">
      <w:rPr>
        <w:b/>
        <w:bCs/>
        <w:color w:val="000000" w:themeColor="text2"/>
      </w:rPr>
      <w:tblPr/>
      <w:tcPr>
        <w:tcBorders>
          <w:top w:val="single" w:sz="8" w:space="0" w:color="008768" w:themeColor="accent1"/>
          <w:bottom w:val="single" w:sz="8" w:space="0" w:color="008768" w:themeColor="accent1"/>
        </w:tcBorders>
      </w:tcPr>
    </w:tblStylePr>
    <w:tblStylePr w:type="firstCol">
      <w:rPr>
        <w:b/>
        <w:bCs/>
      </w:rPr>
    </w:tblStylePr>
    <w:tblStylePr w:type="lastCol">
      <w:rPr>
        <w:b/>
        <w:bCs/>
      </w:rPr>
      <w:tblPr/>
      <w:tcPr>
        <w:tcBorders>
          <w:top w:val="single" w:sz="8" w:space="0" w:color="008768" w:themeColor="accent1"/>
          <w:bottom w:val="single" w:sz="8" w:space="0" w:color="008768" w:themeColor="accent1"/>
        </w:tcBorders>
      </w:tcPr>
    </w:tblStylePr>
    <w:tblStylePr w:type="band1Vert">
      <w:tblPr/>
      <w:tcPr>
        <w:shd w:val="clear" w:color="auto" w:fill="A2FFE9" w:themeFill="accent1" w:themeFillTint="3F"/>
      </w:tcPr>
    </w:tblStylePr>
    <w:tblStylePr w:type="band1Horz">
      <w:tblPr/>
      <w:tcPr>
        <w:shd w:val="clear" w:color="auto" w:fill="A2FFE9" w:themeFill="accent1" w:themeFillTint="3F"/>
      </w:tcPr>
    </w:tblStylePr>
  </w:style>
  <w:style w:type="table" w:customStyle="1" w:styleId="MediumList1-Accent21">
    <w:name w:val="Medium List 1 - Accent 21"/>
    <w:basedOn w:val="TableNormal"/>
    <w:next w:val="MediumList1-Accent2"/>
    <w:uiPriority w:val="65"/>
    <w:semiHidden/>
    <w:unhideWhenUsed/>
    <w:rsid w:val="008129C3"/>
    <w:rPr>
      <w:color w:val="000000" w:themeColor="text1"/>
    </w:rPr>
    <w:tblPr>
      <w:tblStyleRowBandSize w:val="1"/>
      <w:tblStyleColBandSize w:val="1"/>
      <w:tblBorders>
        <w:top w:val="single" w:sz="8" w:space="0" w:color="00353E" w:themeColor="accent2"/>
        <w:bottom w:val="single" w:sz="8" w:space="0" w:color="00353E" w:themeColor="accent2"/>
      </w:tblBorders>
    </w:tblPr>
    <w:tblStylePr w:type="firstRow">
      <w:rPr>
        <w:rFonts w:asciiTheme="majorHAnsi" w:eastAsiaTheme="majorEastAsia" w:hAnsiTheme="majorHAnsi" w:cstheme="majorBidi"/>
      </w:rPr>
      <w:tblPr/>
      <w:tcPr>
        <w:tcBorders>
          <w:top w:val="nil"/>
          <w:bottom w:val="single" w:sz="8" w:space="0" w:color="00353E" w:themeColor="accent2"/>
        </w:tcBorders>
      </w:tcPr>
    </w:tblStylePr>
    <w:tblStylePr w:type="lastRow">
      <w:rPr>
        <w:b/>
        <w:bCs/>
        <w:color w:val="000000" w:themeColor="text2"/>
      </w:rPr>
      <w:tblPr/>
      <w:tcPr>
        <w:tcBorders>
          <w:top w:val="single" w:sz="8" w:space="0" w:color="00353E" w:themeColor="accent2"/>
          <w:bottom w:val="single" w:sz="8" w:space="0" w:color="00353E" w:themeColor="accent2"/>
        </w:tcBorders>
      </w:tcPr>
    </w:tblStylePr>
    <w:tblStylePr w:type="firstCol">
      <w:rPr>
        <w:b/>
        <w:bCs/>
      </w:rPr>
    </w:tblStylePr>
    <w:tblStylePr w:type="lastCol">
      <w:rPr>
        <w:b/>
        <w:bCs/>
      </w:rPr>
      <w:tblPr/>
      <w:tcPr>
        <w:tcBorders>
          <w:top w:val="single" w:sz="8" w:space="0" w:color="00353E" w:themeColor="accent2"/>
          <w:bottom w:val="single" w:sz="8" w:space="0" w:color="00353E" w:themeColor="accent2"/>
        </w:tcBorders>
      </w:tcPr>
    </w:tblStylePr>
    <w:tblStylePr w:type="band1Vert">
      <w:tblPr/>
      <w:tcPr>
        <w:shd w:val="clear" w:color="auto" w:fill="90EEFF" w:themeFill="accent2" w:themeFillTint="3F"/>
      </w:tcPr>
    </w:tblStylePr>
    <w:tblStylePr w:type="band1Horz">
      <w:tblPr/>
      <w:tcPr>
        <w:shd w:val="clear" w:color="auto" w:fill="90EEFF" w:themeFill="accent2" w:themeFillTint="3F"/>
      </w:tcPr>
    </w:tblStylePr>
  </w:style>
  <w:style w:type="table" w:customStyle="1" w:styleId="MediumList1-Accent31">
    <w:name w:val="Medium List 1 - Accent 31"/>
    <w:basedOn w:val="TableNormal"/>
    <w:next w:val="MediumList1-Accent3"/>
    <w:uiPriority w:val="65"/>
    <w:semiHidden/>
    <w:unhideWhenUsed/>
    <w:rsid w:val="008129C3"/>
    <w:rPr>
      <w:color w:val="000000" w:themeColor="text1"/>
    </w:rPr>
    <w:tblPr>
      <w:tblStyleRowBandSize w:val="1"/>
      <w:tblStyleColBandSize w:val="1"/>
      <w:tblBorders>
        <w:top w:val="single" w:sz="8" w:space="0" w:color="AECC53" w:themeColor="accent3"/>
        <w:bottom w:val="single" w:sz="8" w:space="0" w:color="AECC53" w:themeColor="accent3"/>
      </w:tblBorders>
    </w:tblPr>
    <w:tblStylePr w:type="firstRow">
      <w:rPr>
        <w:rFonts w:asciiTheme="majorHAnsi" w:eastAsiaTheme="majorEastAsia" w:hAnsiTheme="majorHAnsi" w:cstheme="majorBidi"/>
      </w:rPr>
      <w:tblPr/>
      <w:tcPr>
        <w:tcBorders>
          <w:top w:val="nil"/>
          <w:bottom w:val="single" w:sz="8" w:space="0" w:color="AECC53" w:themeColor="accent3"/>
        </w:tcBorders>
      </w:tcPr>
    </w:tblStylePr>
    <w:tblStylePr w:type="lastRow">
      <w:rPr>
        <w:b/>
        <w:bCs/>
        <w:color w:val="000000" w:themeColor="text2"/>
      </w:rPr>
      <w:tblPr/>
      <w:tcPr>
        <w:tcBorders>
          <w:top w:val="single" w:sz="8" w:space="0" w:color="AECC53" w:themeColor="accent3"/>
          <w:bottom w:val="single" w:sz="8" w:space="0" w:color="AECC53" w:themeColor="accent3"/>
        </w:tcBorders>
      </w:tcPr>
    </w:tblStylePr>
    <w:tblStylePr w:type="firstCol">
      <w:rPr>
        <w:b/>
        <w:bCs/>
      </w:rPr>
    </w:tblStylePr>
    <w:tblStylePr w:type="lastCol">
      <w:rPr>
        <w:b/>
        <w:bCs/>
      </w:rPr>
      <w:tblPr/>
      <w:tcPr>
        <w:tcBorders>
          <w:top w:val="single" w:sz="8" w:space="0" w:color="AECC53" w:themeColor="accent3"/>
          <w:bottom w:val="single" w:sz="8" w:space="0" w:color="AECC53" w:themeColor="accent3"/>
        </w:tcBorders>
      </w:tcPr>
    </w:tblStylePr>
    <w:tblStylePr w:type="band1Vert">
      <w:tblPr/>
      <w:tcPr>
        <w:shd w:val="clear" w:color="auto" w:fill="EAF2D4" w:themeFill="accent3" w:themeFillTint="3F"/>
      </w:tcPr>
    </w:tblStylePr>
    <w:tblStylePr w:type="band1Horz">
      <w:tblPr/>
      <w:tcPr>
        <w:shd w:val="clear" w:color="auto" w:fill="EAF2D4" w:themeFill="accent3" w:themeFillTint="3F"/>
      </w:tcPr>
    </w:tblStylePr>
  </w:style>
  <w:style w:type="table" w:customStyle="1" w:styleId="MediumList1-Accent41">
    <w:name w:val="Medium List 1 - Accent 41"/>
    <w:basedOn w:val="TableNormal"/>
    <w:next w:val="MediumList1-Accent4"/>
    <w:uiPriority w:val="65"/>
    <w:semiHidden/>
    <w:unhideWhenUsed/>
    <w:rsid w:val="008129C3"/>
    <w:rPr>
      <w:color w:val="000000" w:themeColor="text1"/>
    </w:rPr>
    <w:tblPr>
      <w:tblStyleRowBandSize w:val="1"/>
      <w:tblStyleColBandSize w:val="1"/>
      <w:tblBorders>
        <w:top w:val="single" w:sz="8" w:space="0" w:color="E52713" w:themeColor="accent4"/>
        <w:bottom w:val="single" w:sz="8" w:space="0" w:color="E52713" w:themeColor="accent4"/>
      </w:tblBorders>
    </w:tblPr>
    <w:tblStylePr w:type="firstRow">
      <w:rPr>
        <w:rFonts w:asciiTheme="majorHAnsi" w:eastAsiaTheme="majorEastAsia" w:hAnsiTheme="majorHAnsi" w:cstheme="majorBidi"/>
      </w:rPr>
      <w:tblPr/>
      <w:tcPr>
        <w:tcBorders>
          <w:top w:val="nil"/>
          <w:bottom w:val="single" w:sz="8" w:space="0" w:color="E52713" w:themeColor="accent4"/>
        </w:tcBorders>
      </w:tcPr>
    </w:tblStylePr>
    <w:tblStylePr w:type="lastRow">
      <w:rPr>
        <w:b/>
        <w:bCs/>
        <w:color w:val="000000" w:themeColor="text2"/>
      </w:rPr>
      <w:tblPr/>
      <w:tcPr>
        <w:tcBorders>
          <w:top w:val="single" w:sz="8" w:space="0" w:color="E52713" w:themeColor="accent4"/>
          <w:bottom w:val="single" w:sz="8" w:space="0" w:color="E52713" w:themeColor="accent4"/>
        </w:tcBorders>
      </w:tcPr>
    </w:tblStylePr>
    <w:tblStylePr w:type="firstCol">
      <w:rPr>
        <w:b/>
        <w:bCs/>
      </w:rPr>
    </w:tblStylePr>
    <w:tblStylePr w:type="lastCol">
      <w:rPr>
        <w:b/>
        <w:bCs/>
      </w:rPr>
      <w:tblPr/>
      <w:tcPr>
        <w:tcBorders>
          <w:top w:val="single" w:sz="8" w:space="0" w:color="E52713" w:themeColor="accent4"/>
          <w:bottom w:val="single" w:sz="8" w:space="0" w:color="E52713" w:themeColor="accent4"/>
        </w:tcBorders>
      </w:tcPr>
    </w:tblStylePr>
    <w:tblStylePr w:type="band1Vert">
      <w:tblPr/>
      <w:tcPr>
        <w:shd w:val="clear" w:color="auto" w:fill="FAC8C2" w:themeFill="accent4" w:themeFillTint="3F"/>
      </w:tcPr>
    </w:tblStylePr>
    <w:tblStylePr w:type="band1Horz">
      <w:tblPr/>
      <w:tcPr>
        <w:shd w:val="clear" w:color="auto" w:fill="FAC8C2" w:themeFill="accent4" w:themeFillTint="3F"/>
      </w:tcPr>
    </w:tblStylePr>
  </w:style>
  <w:style w:type="table" w:customStyle="1" w:styleId="MediumList1-Accent51">
    <w:name w:val="Medium List 1 - Accent 51"/>
    <w:basedOn w:val="TableNormal"/>
    <w:next w:val="MediumList1-Accent5"/>
    <w:uiPriority w:val="65"/>
    <w:semiHidden/>
    <w:unhideWhenUsed/>
    <w:rsid w:val="008129C3"/>
    <w:rPr>
      <w:color w:val="000000" w:themeColor="text1"/>
    </w:rPr>
    <w:tblPr>
      <w:tblStyleRowBandSize w:val="1"/>
      <w:tblStyleColBandSize w:val="1"/>
      <w:tblBorders>
        <w:top w:val="single" w:sz="8" w:space="0" w:color="009A9B" w:themeColor="accent5"/>
        <w:bottom w:val="single" w:sz="8" w:space="0" w:color="009A9B" w:themeColor="accent5"/>
      </w:tblBorders>
    </w:tblPr>
    <w:tblStylePr w:type="firstRow">
      <w:rPr>
        <w:rFonts w:asciiTheme="majorHAnsi" w:eastAsiaTheme="majorEastAsia" w:hAnsiTheme="majorHAnsi" w:cstheme="majorBidi"/>
      </w:rPr>
      <w:tblPr/>
      <w:tcPr>
        <w:tcBorders>
          <w:top w:val="nil"/>
          <w:bottom w:val="single" w:sz="8" w:space="0" w:color="009A9B" w:themeColor="accent5"/>
        </w:tcBorders>
      </w:tcPr>
    </w:tblStylePr>
    <w:tblStylePr w:type="lastRow">
      <w:rPr>
        <w:b/>
        <w:bCs/>
        <w:color w:val="000000" w:themeColor="text2"/>
      </w:rPr>
      <w:tblPr/>
      <w:tcPr>
        <w:tcBorders>
          <w:top w:val="single" w:sz="8" w:space="0" w:color="009A9B" w:themeColor="accent5"/>
          <w:bottom w:val="single" w:sz="8" w:space="0" w:color="009A9B" w:themeColor="accent5"/>
        </w:tcBorders>
      </w:tcPr>
    </w:tblStylePr>
    <w:tblStylePr w:type="firstCol">
      <w:rPr>
        <w:b/>
        <w:bCs/>
      </w:rPr>
    </w:tblStylePr>
    <w:tblStylePr w:type="lastCol">
      <w:rPr>
        <w:b/>
        <w:bCs/>
      </w:rPr>
      <w:tblPr/>
      <w:tcPr>
        <w:tcBorders>
          <w:top w:val="single" w:sz="8" w:space="0" w:color="009A9B" w:themeColor="accent5"/>
          <w:bottom w:val="single" w:sz="8" w:space="0" w:color="009A9B" w:themeColor="accent5"/>
        </w:tcBorders>
      </w:tcPr>
    </w:tblStylePr>
    <w:tblStylePr w:type="band1Vert">
      <w:tblPr/>
      <w:tcPr>
        <w:shd w:val="clear" w:color="auto" w:fill="A7FEFF" w:themeFill="accent5" w:themeFillTint="3F"/>
      </w:tcPr>
    </w:tblStylePr>
    <w:tblStylePr w:type="band1Horz">
      <w:tblPr/>
      <w:tcPr>
        <w:shd w:val="clear" w:color="auto" w:fill="A7FEFF" w:themeFill="accent5" w:themeFillTint="3F"/>
      </w:tcPr>
    </w:tblStylePr>
  </w:style>
  <w:style w:type="table" w:customStyle="1" w:styleId="MediumList1-Accent61">
    <w:name w:val="Medium List 1 - Accent 61"/>
    <w:basedOn w:val="TableNormal"/>
    <w:next w:val="MediumList1-Accent6"/>
    <w:uiPriority w:val="65"/>
    <w:semiHidden/>
    <w:unhideWhenUsed/>
    <w:rsid w:val="008129C3"/>
    <w:rPr>
      <w:color w:val="000000" w:themeColor="text1"/>
    </w:rPr>
    <w:tblPr>
      <w:tblStyleRowBandSize w:val="1"/>
      <w:tblStyleColBandSize w:val="1"/>
      <w:tblBorders>
        <w:top w:val="single" w:sz="8" w:space="0" w:color="FFCE00" w:themeColor="accent6"/>
        <w:bottom w:val="single" w:sz="8" w:space="0" w:color="FFCE00" w:themeColor="accent6"/>
      </w:tblBorders>
    </w:tblPr>
    <w:tblStylePr w:type="firstRow">
      <w:rPr>
        <w:rFonts w:asciiTheme="majorHAnsi" w:eastAsiaTheme="majorEastAsia" w:hAnsiTheme="majorHAnsi" w:cstheme="majorBidi"/>
      </w:rPr>
      <w:tblPr/>
      <w:tcPr>
        <w:tcBorders>
          <w:top w:val="nil"/>
          <w:bottom w:val="single" w:sz="8" w:space="0" w:color="FFCE00" w:themeColor="accent6"/>
        </w:tcBorders>
      </w:tcPr>
    </w:tblStylePr>
    <w:tblStylePr w:type="lastRow">
      <w:rPr>
        <w:b/>
        <w:bCs/>
        <w:color w:val="000000" w:themeColor="text2"/>
      </w:rPr>
      <w:tblPr/>
      <w:tcPr>
        <w:tcBorders>
          <w:top w:val="single" w:sz="8" w:space="0" w:color="FFCE00" w:themeColor="accent6"/>
          <w:bottom w:val="single" w:sz="8" w:space="0" w:color="FFCE00" w:themeColor="accent6"/>
        </w:tcBorders>
      </w:tcPr>
    </w:tblStylePr>
    <w:tblStylePr w:type="firstCol">
      <w:rPr>
        <w:b/>
        <w:bCs/>
      </w:rPr>
    </w:tblStylePr>
    <w:tblStylePr w:type="lastCol">
      <w:rPr>
        <w:b/>
        <w:bCs/>
      </w:rPr>
      <w:tblPr/>
      <w:tcPr>
        <w:tcBorders>
          <w:top w:val="single" w:sz="8" w:space="0" w:color="FFCE00" w:themeColor="accent6"/>
          <w:bottom w:val="single" w:sz="8" w:space="0" w:color="FFCE00" w:themeColor="accent6"/>
        </w:tcBorders>
      </w:tcPr>
    </w:tblStylePr>
    <w:tblStylePr w:type="band1Vert">
      <w:tblPr/>
      <w:tcPr>
        <w:shd w:val="clear" w:color="auto" w:fill="FFF2C0" w:themeFill="accent6" w:themeFillTint="3F"/>
      </w:tcPr>
    </w:tblStylePr>
    <w:tblStylePr w:type="band1Horz">
      <w:tblPr/>
      <w:tcPr>
        <w:shd w:val="clear" w:color="auto" w:fill="FFF2C0" w:themeFill="accent6" w:themeFillTint="3F"/>
      </w:tcPr>
    </w:tblStylePr>
  </w:style>
  <w:style w:type="table" w:customStyle="1" w:styleId="MediumList21">
    <w:name w:val="Medium List 21"/>
    <w:basedOn w:val="TableNormal"/>
    <w:next w:val="MediumList2"/>
    <w:uiPriority w:val="66"/>
    <w:semiHidden/>
    <w:unhideWhenUsed/>
    <w:rsid w:val="008129C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semiHidden/>
    <w:unhideWhenUsed/>
    <w:rsid w:val="008129C3"/>
    <w:rPr>
      <w:rFonts w:asciiTheme="majorHAnsi" w:eastAsiaTheme="majorEastAsia" w:hAnsiTheme="majorHAnsi" w:cstheme="majorBidi"/>
      <w:color w:val="000000" w:themeColor="text1"/>
    </w:rPr>
    <w:tblPr>
      <w:tblStyleRowBandSize w:val="1"/>
      <w:tblStyleColBandSize w:val="1"/>
      <w:tblBorders>
        <w:top w:val="single" w:sz="8" w:space="0" w:color="008768" w:themeColor="accent1"/>
        <w:left w:val="single" w:sz="8" w:space="0" w:color="008768" w:themeColor="accent1"/>
        <w:bottom w:val="single" w:sz="8" w:space="0" w:color="008768" w:themeColor="accent1"/>
        <w:right w:val="single" w:sz="8" w:space="0" w:color="008768" w:themeColor="accent1"/>
      </w:tblBorders>
    </w:tblPr>
    <w:tblStylePr w:type="firstRow">
      <w:rPr>
        <w:sz w:val="24"/>
        <w:szCs w:val="24"/>
      </w:rPr>
      <w:tblPr/>
      <w:tcPr>
        <w:tcBorders>
          <w:top w:val="nil"/>
          <w:left w:val="nil"/>
          <w:bottom w:val="single" w:sz="24" w:space="0" w:color="008768" w:themeColor="accent1"/>
          <w:right w:val="nil"/>
          <w:insideH w:val="nil"/>
          <w:insideV w:val="nil"/>
        </w:tcBorders>
        <w:shd w:val="clear" w:color="auto" w:fill="FFFFFF" w:themeFill="background1"/>
      </w:tcPr>
    </w:tblStylePr>
    <w:tblStylePr w:type="lastRow">
      <w:tblPr/>
      <w:tcPr>
        <w:tcBorders>
          <w:top w:val="single" w:sz="8" w:space="0" w:color="00876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768" w:themeColor="accent1"/>
          <w:insideH w:val="nil"/>
          <w:insideV w:val="nil"/>
        </w:tcBorders>
        <w:shd w:val="clear" w:color="auto" w:fill="FFFFFF" w:themeFill="background1"/>
      </w:tcPr>
    </w:tblStylePr>
    <w:tblStylePr w:type="lastCol">
      <w:tblPr/>
      <w:tcPr>
        <w:tcBorders>
          <w:top w:val="nil"/>
          <w:left w:val="single" w:sz="8" w:space="0" w:color="00876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E9" w:themeFill="accent1" w:themeFillTint="3F"/>
      </w:tcPr>
    </w:tblStylePr>
    <w:tblStylePr w:type="band1Horz">
      <w:tblPr/>
      <w:tcPr>
        <w:tcBorders>
          <w:top w:val="nil"/>
          <w:bottom w:val="nil"/>
          <w:insideH w:val="nil"/>
          <w:insideV w:val="nil"/>
        </w:tcBorders>
        <w:shd w:val="clear" w:color="auto" w:fill="A2FF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semiHidden/>
    <w:unhideWhenUsed/>
    <w:rsid w:val="008129C3"/>
    <w:rPr>
      <w:rFonts w:asciiTheme="majorHAnsi" w:eastAsiaTheme="majorEastAsia" w:hAnsiTheme="majorHAnsi" w:cstheme="majorBidi"/>
      <w:color w:val="000000" w:themeColor="text1"/>
    </w:rPr>
    <w:tblPr>
      <w:tblStyleRowBandSize w:val="1"/>
      <w:tblStyleColBandSize w:val="1"/>
      <w:tblBorders>
        <w:top w:val="single" w:sz="8" w:space="0" w:color="00353E" w:themeColor="accent2"/>
        <w:left w:val="single" w:sz="8" w:space="0" w:color="00353E" w:themeColor="accent2"/>
        <w:bottom w:val="single" w:sz="8" w:space="0" w:color="00353E" w:themeColor="accent2"/>
        <w:right w:val="single" w:sz="8" w:space="0" w:color="00353E" w:themeColor="accent2"/>
      </w:tblBorders>
    </w:tblPr>
    <w:tblStylePr w:type="firstRow">
      <w:rPr>
        <w:sz w:val="24"/>
        <w:szCs w:val="24"/>
      </w:rPr>
      <w:tblPr/>
      <w:tcPr>
        <w:tcBorders>
          <w:top w:val="nil"/>
          <w:left w:val="nil"/>
          <w:bottom w:val="single" w:sz="24" w:space="0" w:color="00353E" w:themeColor="accent2"/>
          <w:right w:val="nil"/>
          <w:insideH w:val="nil"/>
          <w:insideV w:val="nil"/>
        </w:tcBorders>
        <w:shd w:val="clear" w:color="auto" w:fill="FFFFFF" w:themeFill="background1"/>
      </w:tcPr>
    </w:tblStylePr>
    <w:tblStylePr w:type="lastRow">
      <w:tblPr/>
      <w:tcPr>
        <w:tcBorders>
          <w:top w:val="single" w:sz="8" w:space="0" w:color="00353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53E" w:themeColor="accent2"/>
          <w:insideH w:val="nil"/>
          <w:insideV w:val="nil"/>
        </w:tcBorders>
        <w:shd w:val="clear" w:color="auto" w:fill="FFFFFF" w:themeFill="background1"/>
      </w:tcPr>
    </w:tblStylePr>
    <w:tblStylePr w:type="lastCol">
      <w:tblPr/>
      <w:tcPr>
        <w:tcBorders>
          <w:top w:val="nil"/>
          <w:left w:val="single" w:sz="8" w:space="0" w:color="00353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EEFF" w:themeFill="accent2" w:themeFillTint="3F"/>
      </w:tcPr>
    </w:tblStylePr>
    <w:tblStylePr w:type="band1Horz">
      <w:tblPr/>
      <w:tcPr>
        <w:tcBorders>
          <w:top w:val="nil"/>
          <w:bottom w:val="nil"/>
          <w:insideH w:val="nil"/>
          <w:insideV w:val="nil"/>
        </w:tcBorders>
        <w:shd w:val="clear" w:color="auto" w:fill="90E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semiHidden/>
    <w:unhideWhenUsed/>
    <w:rsid w:val="008129C3"/>
    <w:rPr>
      <w:rFonts w:asciiTheme="majorHAnsi" w:eastAsiaTheme="majorEastAsia" w:hAnsiTheme="majorHAnsi" w:cstheme="majorBidi"/>
      <w:color w:val="000000" w:themeColor="text1"/>
    </w:rPr>
    <w:tblPr>
      <w:tblStyleRowBandSize w:val="1"/>
      <w:tblStyleColBandSize w:val="1"/>
      <w:tblBorders>
        <w:top w:val="single" w:sz="8" w:space="0" w:color="AECC53" w:themeColor="accent3"/>
        <w:left w:val="single" w:sz="8" w:space="0" w:color="AECC53" w:themeColor="accent3"/>
        <w:bottom w:val="single" w:sz="8" w:space="0" w:color="AECC53" w:themeColor="accent3"/>
        <w:right w:val="single" w:sz="8" w:space="0" w:color="AECC53" w:themeColor="accent3"/>
      </w:tblBorders>
    </w:tblPr>
    <w:tblStylePr w:type="firstRow">
      <w:rPr>
        <w:sz w:val="24"/>
        <w:szCs w:val="24"/>
      </w:rPr>
      <w:tblPr/>
      <w:tcPr>
        <w:tcBorders>
          <w:top w:val="nil"/>
          <w:left w:val="nil"/>
          <w:bottom w:val="single" w:sz="24" w:space="0" w:color="AECC53" w:themeColor="accent3"/>
          <w:right w:val="nil"/>
          <w:insideH w:val="nil"/>
          <w:insideV w:val="nil"/>
        </w:tcBorders>
        <w:shd w:val="clear" w:color="auto" w:fill="FFFFFF" w:themeFill="background1"/>
      </w:tcPr>
    </w:tblStylePr>
    <w:tblStylePr w:type="lastRow">
      <w:tblPr/>
      <w:tcPr>
        <w:tcBorders>
          <w:top w:val="single" w:sz="8" w:space="0" w:color="AECC5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CC53" w:themeColor="accent3"/>
          <w:insideH w:val="nil"/>
          <w:insideV w:val="nil"/>
        </w:tcBorders>
        <w:shd w:val="clear" w:color="auto" w:fill="FFFFFF" w:themeFill="background1"/>
      </w:tcPr>
    </w:tblStylePr>
    <w:tblStylePr w:type="lastCol">
      <w:tblPr/>
      <w:tcPr>
        <w:tcBorders>
          <w:top w:val="nil"/>
          <w:left w:val="single" w:sz="8" w:space="0" w:color="AECC5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2D4" w:themeFill="accent3" w:themeFillTint="3F"/>
      </w:tcPr>
    </w:tblStylePr>
    <w:tblStylePr w:type="band1Horz">
      <w:tblPr/>
      <w:tcPr>
        <w:tcBorders>
          <w:top w:val="nil"/>
          <w:bottom w:val="nil"/>
          <w:insideH w:val="nil"/>
          <w:insideV w:val="nil"/>
        </w:tcBorders>
        <w:shd w:val="clear" w:color="auto" w:fill="EAF2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semiHidden/>
    <w:unhideWhenUsed/>
    <w:rsid w:val="008129C3"/>
    <w:rPr>
      <w:rFonts w:asciiTheme="majorHAnsi" w:eastAsiaTheme="majorEastAsia" w:hAnsiTheme="majorHAnsi" w:cstheme="majorBidi"/>
      <w:color w:val="000000" w:themeColor="text1"/>
    </w:rPr>
    <w:tblPr>
      <w:tblStyleRowBandSize w:val="1"/>
      <w:tblStyleColBandSize w:val="1"/>
      <w:tblBorders>
        <w:top w:val="single" w:sz="8" w:space="0" w:color="E52713" w:themeColor="accent4"/>
        <w:left w:val="single" w:sz="8" w:space="0" w:color="E52713" w:themeColor="accent4"/>
        <w:bottom w:val="single" w:sz="8" w:space="0" w:color="E52713" w:themeColor="accent4"/>
        <w:right w:val="single" w:sz="8" w:space="0" w:color="E52713" w:themeColor="accent4"/>
      </w:tblBorders>
    </w:tblPr>
    <w:tblStylePr w:type="firstRow">
      <w:rPr>
        <w:sz w:val="24"/>
        <w:szCs w:val="24"/>
      </w:rPr>
      <w:tblPr/>
      <w:tcPr>
        <w:tcBorders>
          <w:top w:val="nil"/>
          <w:left w:val="nil"/>
          <w:bottom w:val="single" w:sz="24" w:space="0" w:color="E52713" w:themeColor="accent4"/>
          <w:right w:val="nil"/>
          <w:insideH w:val="nil"/>
          <w:insideV w:val="nil"/>
        </w:tcBorders>
        <w:shd w:val="clear" w:color="auto" w:fill="FFFFFF" w:themeFill="background1"/>
      </w:tcPr>
    </w:tblStylePr>
    <w:tblStylePr w:type="lastRow">
      <w:tblPr/>
      <w:tcPr>
        <w:tcBorders>
          <w:top w:val="single" w:sz="8" w:space="0" w:color="E5271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2713" w:themeColor="accent4"/>
          <w:insideH w:val="nil"/>
          <w:insideV w:val="nil"/>
        </w:tcBorders>
        <w:shd w:val="clear" w:color="auto" w:fill="FFFFFF" w:themeFill="background1"/>
      </w:tcPr>
    </w:tblStylePr>
    <w:tblStylePr w:type="lastCol">
      <w:tblPr/>
      <w:tcPr>
        <w:tcBorders>
          <w:top w:val="nil"/>
          <w:left w:val="single" w:sz="8" w:space="0" w:color="E5271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8C2" w:themeFill="accent4" w:themeFillTint="3F"/>
      </w:tcPr>
    </w:tblStylePr>
    <w:tblStylePr w:type="band1Horz">
      <w:tblPr/>
      <w:tcPr>
        <w:tcBorders>
          <w:top w:val="nil"/>
          <w:bottom w:val="nil"/>
          <w:insideH w:val="nil"/>
          <w:insideV w:val="nil"/>
        </w:tcBorders>
        <w:shd w:val="clear" w:color="auto" w:fill="FAC8C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semiHidden/>
    <w:unhideWhenUsed/>
    <w:rsid w:val="008129C3"/>
    <w:rPr>
      <w:rFonts w:asciiTheme="majorHAnsi" w:eastAsiaTheme="majorEastAsia" w:hAnsiTheme="majorHAnsi" w:cstheme="majorBidi"/>
      <w:color w:val="000000" w:themeColor="text1"/>
    </w:rPr>
    <w:tblPr>
      <w:tblStyleRowBandSize w:val="1"/>
      <w:tblStyleColBandSize w:val="1"/>
      <w:tblBorders>
        <w:top w:val="single" w:sz="8" w:space="0" w:color="009A9B" w:themeColor="accent5"/>
        <w:left w:val="single" w:sz="8" w:space="0" w:color="009A9B" w:themeColor="accent5"/>
        <w:bottom w:val="single" w:sz="8" w:space="0" w:color="009A9B" w:themeColor="accent5"/>
        <w:right w:val="single" w:sz="8" w:space="0" w:color="009A9B" w:themeColor="accent5"/>
      </w:tblBorders>
    </w:tblPr>
    <w:tblStylePr w:type="firstRow">
      <w:rPr>
        <w:sz w:val="24"/>
        <w:szCs w:val="24"/>
      </w:rPr>
      <w:tblPr/>
      <w:tcPr>
        <w:tcBorders>
          <w:top w:val="nil"/>
          <w:left w:val="nil"/>
          <w:bottom w:val="single" w:sz="24" w:space="0" w:color="009A9B" w:themeColor="accent5"/>
          <w:right w:val="nil"/>
          <w:insideH w:val="nil"/>
          <w:insideV w:val="nil"/>
        </w:tcBorders>
        <w:shd w:val="clear" w:color="auto" w:fill="FFFFFF" w:themeFill="background1"/>
      </w:tcPr>
    </w:tblStylePr>
    <w:tblStylePr w:type="lastRow">
      <w:tblPr/>
      <w:tcPr>
        <w:tcBorders>
          <w:top w:val="single" w:sz="8" w:space="0" w:color="009A9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A9B" w:themeColor="accent5"/>
          <w:insideH w:val="nil"/>
          <w:insideV w:val="nil"/>
        </w:tcBorders>
        <w:shd w:val="clear" w:color="auto" w:fill="FFFFFF" w:themeFill="background1"/>
      </w:tcPr>
    </w:tblStylePr>
    <w:tblStylePr w:type="lastCol">
      <w:tblPr/>
      <w:tcPr>
        <w:tcBorders>
          <w:top w:val="nil"/>
          <w:left w:val="single" w:sz="8" w:space="0" w:color="009A9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EFF" w:themeFill="accent5" w:themeFillTint="3F"/>
      </w:tcPr>
    </w:tblStylePr>
    <w:tblStylePr w:type="band1Horz">
      <w:tblPr/>
      <w:tcPr>
        <w:tcBorders>
          <w:top w:val="nil"/>
          <w:bottom w:val="nil"/>
          <w:insideH w:val="nil"/>
          <w:insideV w:val="nil"/>
        </w:tcBorders>
        <w:shd w:val="clear" w:color="auto" w:fill="A7FE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semiHidden/>
    <w:unhideWhenUsed/>
    <w:rsid w:val="008129C3"/>
    <w:rPr>
      <w:rFonts w:asciiTheme="majorHAnsi" w:eastAsiaTheme="majorEastAsia" w:hAnsiTheme="majorHAnsi" w:cstheme="majorBidi"/>
      <w:color w:val="000000" w:themeColor="text1"/>
    </w:rPr>
    <w:tblPr>
      <w:tblStyleRowBandSize w:val="1"/>
      <w:tblStyleColBandSize w:val="1"/>
      <w:tblBorders>
        <w:top w:val="single" w:sz="8" w:space="0" w:color="FFCE00" w:themeColor="accent6"/>
        <w:left w:val="single" w:sz="8" w:space="0" w:color="FFCE00" w:themeColor="accent6"/>
        <w:bottom w:val="single" w:sz="8" w:space="0" w:color="FFCE00" w:themeColor="accent6"/>
        <w:right w:val="single" w:sz="8" w:space="0" w:color="FFCE00" w:themeColor="accent6"/>
      </w:tblBorders>
    </w:tblPr>
    <w:tblStylePr w:type="firstRow">
      <w:rPr>
        <w:sz w:val="24"/>
        <w:szCs w:val="24"/>
      </w:rPr>
      <w:tblPr/>
      <w:tcPr>
        <w:tcBorders>
          <w:top w:val="nil"/>
          <w:left w:val="nil"/>
          <w:bottom w:val="single" w:sz="24" w:space="0" w:color="FFCE00" w:themeColor="accent6"/>
          <w:right w:val="nil"/>
          <w:insideH w:val="nil"/>
          <w:insideV w:val="nil"/>
        </w:tcBorders>
        <w:shd w:val="clear" w:color="auto" w:fill="FFFFFF" w:themeFill="background1"/>
      </w:tcPr>
    </w:tblStylePr>
    <w:tblStylePr w:type="lastRow">
      <w:tblPr/>
      <w:tcPr>
        <w:tcBorders>
          <w:top w:val="single" w:sz="8" w:space="0" w:color="FFCE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E00" w:themeColor="accent6"/>
          <w:insideH w:val="nil"/>
          <w:insideV w:val="nil"/>
        </w:tcBorders>
        <w:shd w:val="clear" w:color="auto" w:fill="FFFFFF" w:themeFill="background1"/>
      </w:tcPr>
    </w:tblStylePr>
    <w:tblStylePr w:type="lastCol">
      <w:tblPr/>
      <w:tcPr>
        <w:tcBorders>
          <w:top w:val="nil"/>
          <w:left w:val="single" w:sz="8" w:space="0" w:color="FFCE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0" w:themeFill="accent6" w:themeFillTint="3F"/>
      </w:tcPr>
    </w:tblStylePr>
    <w:tblStylePr w:type="band1Horz">
      <w:tblPr/>
      <w:tcPr>
        <w:tcBorders>
          <w:top w:val="nil"/>
          <w:bottom w:val="nil"/>
          <w:insideH w:val="nil"/>
          <w:insideV w:val="nil"/>
        </w:tcBorders>
        <w:shd w:val="clear" w:color="auto" w:fill="FFF2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next w:val="MediumShading1"/>
    <w:uiPriority w:val="63"/>
    <w:semiHidden/>
    <w:unhideWhenUsed/>
    <w:rsid w:val="008129C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semiHidden/>
    <w:unhideWhenUsed/>
    <w:rsid w:val="008129C3"/>
    <w:tblPr>
      <w:tblStyleRowBandSize w:val="1"/>
      <w:tblStyleColBandSize w:val="1"/>
      <w:tbl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single" w:sz="8" w:space="0" w:color="00E5B0" w:themeColor="accent1" w:themeTint="BF"/>
      </w:tblBorders>
    </w:tblPr>
    <w:tblStylePr w:type="firstRow">
      <w:pPr>
        <w:spacing w:before="0" w:after="0" w:line="240" w:lineRule="auto"/>
      </w:pPr>
      <w:rPr>
        <w:b/>
        <w:bCs/>
        <w:color w:val="FFFFFF" w:themeColor="background1"/>
      </w:rPr>
      <w:tblPr/>
      <w:tcPr>
        <w:tcBorders>
          <w:top w:val="single" w:sz="8"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nil"/>
          <w:insideV w:val="nil"/>
        </w:tcBorders>
        <w:shd w:val="clear" w:color="auto" w:fill="008768" w:themeFill="accent1"/>
      </w:tcPr>
    </w:tblStylePr>
    <w:tblStylePr w:type="lastRow">
      <w:pPr>
        <w:spacing w:before="0" w:after="0" w:line="240" w:lineRule="auto"/>
      </w:pPr>
      <w:rPr>
        <w:b/>
        <w:bCs/>
      </w:rPr>
      <w:tblPr/>
      <w:tcPr>
        <w:tcBorders>
          <w:top w:val="double" w:sz="6" w:space="0" w:color="00E5B0" w:themeColor="accent1" w:themeTint="BF"/>
          <w:left w:val="single" w:sz="8" w:space="0" w:color="00E5B0" w:themeColor="accent1" w:themeTint="BF"/>
          <w:bottom w:val="single" w:sz="8" w:space="0" w:color="00E5B0" w:themeColor="accent1" w:themeTint="BF"/>
          <w:right w:val="single" w:sz="8" w:space="0" w:color="00E5B0" w:themeColor="accent1" w:themeTint="BF"/>
          <w:insideH w:val="nil"/>
          <w:insideV w:val="nil"/>
        </w:tcBorders>
      </w:tcPr>
    </w:tblStylePr>
    <w:tblStylePr w:type="firstCol">
      <w:rPr>
        <w:b/>
        <w:bCs/>
      </w:rPr>
    </w:tblStylePr>
    <w:tblStylePr w:type="lastCol">
      <w:rPr>
        <w:b/>
        <w:bCs/>
      </w:rPr>
    </w:tblStylePr>
    <w:tblStylePr w:type="band1Vert">
      <w:tblPr/>
      <w:tcPr>
        <w:shd w:val="clear" w:color="auto" w:fill="A2FFE9" w:themeFill="accent1" w:themeFillTint="3F"/>
      </w:tcPr>
    </w:tblStylePr>
    <w:tblStylePr w:type="band1Horz">
      <w:tblPr/>
      <w:tcPr>
        <w:tcBorders>
          <w:insideH w:val="nil"/>
          <w:insideV w:val="nil"/>
        </w:tcBorders>
        <w:shd w:val="clear" w:color="auto" w:fill="A2FFE9" w:themeFill="accent1"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semiHidden/>
    <w:unhideWhenUsed/>
    <w:rsid w:val="008129C3"/>
    <w:tblPr>
      <w:tblStyleRowBandSize w:val="1"/>
      <w:tblStyleColBandSize w:val="1"/>
      <w:tbl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single" w:sz="8" w:space="0" w:color="0094AE" w:themeColor="accent2" w:themeTint="BF"/>
      </w:tblBorders>
    </w:tblPr>
    <w:tblStylePr w:type="firstRow">
      <w:pPr>
        <w:spacing w:before="0" w:after="0" w:line="240" w:lineRule="auto"/>
      </w:pPr>
      <w:rPr>
        <w:b/>
        <w:bCs/>
        <w:color w:val="FFFFFF" w:themeColor="background1"/>
      </w:rPr>
      <w:tblPr/>
      <w:tcPr>
        <w:tcBorders>
          <w:top w:val="single" w:sz="8"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nil"/>
          <w:insideV w:val="nil"/>
        </w:tcBorders>
        <w:shd w:val="clear" w:color="auto" w:fill="00353E" w:themeFill="accent2"/>
      </w:tcPr>
    </w:tblStylePr>
    <w:tblStylePr w:type="lastRow">
      <w:pPr>
        <w:spacing w:before="0" w:after="0" w:line="240" w:lineRule="auto"/>
      </w:pPr>
      <w:rPr>
        <w:b/>
        <w:bCs/>
      </w:rPr>
      <w:tblPr/>
      <w:tcPr>
        <w:tcBorders>
          <w:top w:val="double" w:sz="6" w:space="0" w:color="0094AE" w:themeColor="accent2" w:themeTint="BF"/>
          <w:left w:val="single" w:sz="8" w:space="0" w:color="0094AE" w:themeColor="accent2" w:themeTint="BF"/>
          <w:bottom w:val="single" w:sz="8" w:space="0" w:color="0094AE" w:themeColor="accent2" w:themeTint="BF"/>
          <w:right w:val="single" w:sz="8" w:space="0" w:color="0094AE" w:themeColor="accent2" w:themeTint="BF"/>
          <w:insideH w:val="nil"/>
          <w:insideV w:val="nil"/>
        </w:tcBorders>
      </w:tcPr>
    </w:tblStylePr>
    <w:tblStylePr w:type="firstCol">
      <w:rPr>
        <w:b/>
        <w:bCs/>
      </w:rPr>
    </w:tblStylePr>
    <w:tblStylePr w:type="lastCol">
      <w:rPr>
        <w:b/>
        <w:bCs/>
      </w:rPr>
    </w:tblStylePr>
    <w:tblStylePr w:type="band1Vert">
      <w:tblPr/>
      <w:tcPr>
        <w:shd w:val="clear" w:color="auto" w:fill="90EEFF" w:themeFill="accent2" w:themeFillTint="3F"/>
      </w:tcPr>
    </w:tblStylePr>
    <w:tblStylePr w:type="band1Horz">
      <w:tblPr/>
      <w:tcPr>
        <w:tcBorders>
          <w:insideH w:val="nil"/>
          <w:insideV w:val="nil"/>
        </w:tcBorders>
        <w:shd w:val="clear" w:color="auto" w:fill="90EEFF"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semiHidden/>
    <w:unhideWhenUsed/>
    <w:rsid w:val="008129C3"/>
    <w:tblPr>
      <w:tblStyleRowBandSize w:val="1"/>
      <w:tblStyleColBandSize w:val="1"/>
      <w:tbl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single" w:sz="8" w:space="0" w:color="C1D87D" w:themeColor="accent3" w:themeTint="BF"/>
      </w:tblBorders>
    </w:tblPr>
    <w:tblStylePr w:type="firstRow">
      <w:pPr>
        <w:spacing w:before="0" w:after="0" w:line="240" w:lineRule="auto"/>
      </w:pPr>
      <w:rPr>
        <w:b/>
        <w:bCs/>
        <w:color w:val="FFFFFF" w:themeColor="background1"/>
      </w:rPr>
      <w:tblPr/>
      <w:tcPr>
        <w:tcBorders>
          <w:top w:val="single" w:sz="8"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nil"/>
          <w:insideV w:val="nil"/>
        </w:tcBorders>
        <w:shd w:val="clear" w:color="auto" w:fill="AECC53" w:themeFill="accent3"/>
      </w:tcPr>
    </w:tblStylePr>
    <w:tblStylePr w:type="lastRow">
      <w:pPr>
        <w:spacing w:before="0" w:after="0" w:line="240" w:lineRule="auto"/>
      </w:pPr>
      <w:rPr>
        <w:b/>
        <w:bCs/>
      </w:rPr>
      <w:tblPr/>
      <w:tcPr>
        <w:tcBorders>
          <w:top w:val="double" w:sz="6" w:space="0" w:color="C1D87D" w:themeColor="accent3" w:themeTint="BF"/>
          <w:left w:val="single" w:sz="8" w:space="0" w:color="C1D87D" w:themeColor="accent3" w:themeTint="BF"/>
          <w:bottom w:val="single" w:sz="8" w:space="0" w:color="C1D87D" w:themeColor="accent3" w:themeTint="BF"/>
          <w:right w:val="single" w:sz="8" w:space="0" w:color="C1D87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2D4" w:themeFill="accent3" w:themeFillTint="3F"/>
      </w:tcPr>
    </w:tblStylePr>
    <w:tblStylePr w:type="band1Horz">
      <w:tblPr/>
      <w:tcPr>
        <w:tcBorders>
          <w:insideH w:val="nil"/>
          <w:insideV w:val="nil"/>
        </w:tcBorders>
        <w:shd w:val="clear" w:color="auto" w:fill="EAF2D4" w:themeFill="accent3"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semiHidden/>
    <w:unhideWhenUsed/>
    <w:rsid w:val="008129C3"/>
    <w:tblPr>
      <w:tblStyleRowBandSize w:val="1"/>
      <w:tblStyleColBandSize w:val="1"/>
      <w:tbl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single" w:sz="8" w:space="0" w:color="F05949" w:themeColor="accent4" w:themeTint="BF"/>
      </w:tblBorders>
    </w:tblPr>
    <w:tblStylePr w:type="firstRow">
      <w:pPr>
        <w:spacing w:before="0" w:after="0" w:line="240" w:lineRule="auto"/>
      </w:pPr>
      <w:rPr>
        <w:b/>
        <w:bCs/>
        <w:color w:val="FFFFFF" w:themeColor="background1"/>
      </w:rPr>
      <w:tblPr/>
      <w:tcPr>
        <w:tcBorders>
          <w:top w:val="single" w:sz="8"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nil"/>
          <w:insideV w:val="nil"/>
        </w:tcBorders>
        <w:shd w:val="clear" w:color="auto" w:fill="E52713" w:themeFill="accent4"/>
      </w:tcPr>
    </w:tblStylePr>
    <w:tblStylePr w:type="lastRow">
      <w:pPr>
        <w:spacing w:before="0" w:after="0" w:line="240" w:lineRule="auto"/>
      </w:pPr>
      <w:rPr>
        <w:b/>
        <w:bCs/>
      </w:rPr>
      <w:tblPr/>
      <w:tcPr>
        <w:tcBorders>
          <w:top w:val="double" w:sz="6" w:space="0" w:color="F05949" w:themeColor="accent4" w:themeTint="BF"/>
          <w:left w:val="single" w:sz="8" w:space="0" w:color="F05949" w:themeColor="accent4" w:themeTint="BF"/>
          <w:bottom w:val="single" w:sz="8" w:space="0" w:color="F05949" w:themeColor="accent4" w:themeTint="BF"/>
          <w:right w:val="single" w:sz="8" w:space="0" w:color="F0594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C8C2" w:themeFill="accent4" w:themeFillTint="3F"/>
      </w:tcPr>
    </w:tblStylePr>
    <w:tblStylePr w:type="band1Horz">
      <w:tblPr/>
      <w:tcPr>
        <w:tcBorders>
          <w:insideH w:val="nil"/>
          <w:insideV w:val="nil"/>
        </w:tcBorders>
        <w:shd w:val="clear" w:color="auto" w:fill="FAC8C2"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semiHidden/>
    <w:unhideWhenUsed/>
    <w:rsid w:val="008129C3"/>
    <w:tblPr>
      <w:tblStyleRowBandSize w:val="1"/>
      <w:tblStyleColBandSize w:val="1"/>
      <w:tbl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single" w:sz="8" w:space="0" w:color="00F2F4" w:themeColor="accent5" w:themeTint="BF"/>
      </w:tblBorders>
    </w:tblPr>
    <w:tblStylePr w:type="firstRow">
      <w:pPr>
        <w:spacing w:before="0" w:after="0" w:line="240" w:lineRule="auto"/>
      </w:pPr>
      <w:rPr>
        <w:b/>
        <w:bCs/>
        <w:color w:val="FFFFFF" w:themeColor="background1"/>
      </w:rPr>
      <w:tblPr/>
      <w:tcPr>
        <w:tcBorders>
          <w:top w:val="single" w:sz="8"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nil"/>
          <w:insideV w:val="nil"/>
        </w:tcBorders>
        <w:shd w:val="clear" w:color="auto" w:fill="009A9B" w:themeFill="accent5"/>
      </w:tcPr>
    </w:tblStylePr>
    <w:tblStylePr w:type="lastRow">
      <w:pPr>
        <w:spacing w:before="0" w:after="0" w:line="240" w:lineRule="auto"/>
      </w:pPr>
      <w:rPr>
        <w:b/>
        <w:bCs/>
      </w:rPr>
      <w:tblPr/>
      <w:tcPr>
        <w:tcBorders>
          <w:top w:val="double" w:sz="6" w:space="0" w:color="00F2F4" w:themeColor="accent5" w:themeTint="BF"/>
          <w:left w:val="single" w:sz="8" w:space="0" w:color="00F2F4" w:themeColor="accent5" w:themeTint="BF"/>
          <w:bottom w:val="single" w:sz="8" w:space="0" w:color="00F2F4" w:themeColor="accent5" w:themeTint="BF"/>
          <w:right w:val="single" w:sz="8" w:space="0" w:color="00F2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A7FEFF" w:themeFill="accent5" w:themeFillTint="3F"/>
      </w:tcPr>
    </w:tblStylePr>
    <w:tblStylePr w:type="band1Horz">
      <w:tblPr/>
      <w:tcPr>
        <w:tcBorders>
          <w:insideH w:val="nil"/>
          <w:insideV w:val="nil"/>
        </w:tcBorders>
        <w:shd w:val="clear" w:color="auto" w:fill="A7FEFF" w:themeFill="accent5"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semiHidden/>
    <w:unhideWhenUsed/>
    <w:rsid w:val="008129C3"/>
    <w:tblPr>
      <w:tblStyleRowBandSize w:val="1"/>
      <w:tblStyleColBandSize w:val="1"/>
      <w:tbl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single" w:sz="8" w:space="0" w:color="FFDA40" w:themeColor="accent6" w:themeTint="BF"/>
      </w:tblBorders>
    </w:tblPr>
    <w:tblStylePr w:type="firstRow">
      <w:pPr>
        <w:spacing w:before="0" w:after="0" w:line="240" w:lineRule="auto"/>
      </w:pPr>
      <w:rPr>
        <w:b/>
        <w:bCs/>
        <w:color w:val="FFFFFF" w:themeColor="background1"/>
      </w:rPr>
      <w:tblPr/>
      <w:tcPr>
        <w:tcBorders>
          <w:top w:val="single" w:sz="8"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nil"/>
          <w:insideV w:val="nil"/>
        </w:tcBorders>
        <w:shd w:val="clear" w:color="auto" w:fill="FFCE00" w:themeFill="accent6"/>
      </w:tcPr>
    </w:tblStylePr>
    <w:tblStylePr w:type="lastRow">
      <w:pPr>
        <w:spacing w:before="0" w:after="0" w:line="240" w:lineRule="auto"/>
      </w:pPr>
      <w:rPr>
        <w:b/>
        <w:bCs/>
      </w:rPr>
      <w:tblPr/>
      <w:tcPr>
        <w:tcBorders>
          <w:top w:val="double" w:sz="6" w:space="0" w:color="FFDA40" w:themeColor="accent6" w:themeTint="BF"/>
          <w:left w:val="single" w:sz="8" w:space="0" w:color="FFDA40" w:themeColor="accent6" w:themeTint="BF"/>
          <w:bottom w:val="single" w:sz="8" w:space="0" w:color="FFDA40" w:themeColor="accent6" w:themeTint="BF"/>
          <w:right w:val="single" w:sz="8" w:space="0" w:color="FFDA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2C0" w:themeFill="accent6" w:themeFillTint="3F"/>
      </w:tcPr>
    </w:tblStylePr>
    <w:tblStylePr w:type="band1Horz">
      <w:tblPr/>
      <w:tcPr>
        <w:tcBorders>
          <w:insideH w:val="nil"/>
          <w:insideV w:val="nil"/>
        </w:tcBorders>
        <w:shd w:val="clear" w:color="auto" w:fill="FFF2C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semiHidden/>
    <w:unhideWhenUsed/>
    <w:rsid w:val="008129C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semiHidden/>
    <w:unhideWhenUsed/>
    <w:rsid w:val="008129C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7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768" w:themeFill="accent1"/>
      </w:tcPr>
    </w:tblStylePr>
    <w:tblStylePr w:type="lastCol">
      <w:rPr>
        <w:b/>
        <w:bCs/>
        <w:color w:val="FFFFFF" w:themeColor="background1"/>
      </w:rPr>
      <w:tblPr/>
      <w:tcPr>
        <w:tcBorders>
          <w:left w:val="nil"/>
          <w:right w:val="nil"/>
          <w:insideH w:val="nil"/>
          <w:insideV w:val="nil"/>
        </w:tcBorders>
        <w:shd w:val="clear" w:color="auto" w:fill="0087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semiHidden/>
    <w:unhideWhenUsed/>
    <w:rsid w:val="008129C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53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53E" w:themeFill="accent2"/>
      </w:tcPr>
    </w:tblStylePr>
    <w:tblStylePr w:type="lastCol">
      <w:rPr>
        <w:b/>
        <w:bCs/>
        <w:color w:val="FFFFFF" w:themeColor="background1"/>
      </w:rPr>
      <w:tblPr/>
      <w:tcPr>
        <w:tcBorders>
          <w:left w:val="nil"/>
          <w:right w:val="nil"/>
          <w:insideH w:val="nil"/>
          <w:insideV w:val="nil"/>
        </w:tcBorders>
        <w:shd w:val="clear" w:color="auto" w:fill="00353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semiHidden/>
    <w:unhideWhenUsed/>
    <w:rsid w:val="008129C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CC5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CC53" w:themeFill="accent3"/>
      </w:tcPr>
    </w:tblStylePr>
    <w:tblStylePr w:type="lastCol">
      <w:rPr>
        <w:b/>
        <w:bCs/>
        <w:color w:val="FFFFFF" w:themeColor="background1"/>
      </w:rPr>
      <w:tblPr/>
      <w:tcPr>
        <w:tcBorders>
          <w:left w:val="nil"/>
          <w:right w:val="nil"/>
          <w:insideH w:val="nil"/>
          <w:insideV w:val="nil"/>
        </w:tcBorders>
        <w:shd w:val="clear" w:color="auto" w:fill="AECC5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semiHidden/>
    <w:unhideWhenUsed/>
    <w:rsid w:val="008129C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271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52713" w:themeFill="accent4"/>
      </w:tcPr>
    </w:tblStylePr>
    <w:tblStylePr w:type="lastCol">
      <w:rPr>
        <w:b/>
        <w:bCs/>
        <w:color w:val="FFFFFF" w:themeColor="background1"/>
      </w:rPr>
      <w:tblPr/>
      <w:tcPr>
        <w:tcBorders>
          <w:left w:val="nil"/>
          <w:right w:val="nil"/>
          <w:insideH w:val="nil"/>
          <w:insideV w:val="nil"/>
        </w:tcBorders>
        <w:shd w:val="clear" w:color="auto" w:fill="E5271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semiHidden/>
    <w:unhideWhenUsed/>
    <w:rsid w:val="008129C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A9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A9B" w:themeFill="accent5"/>
      </w:tcPr>
    </w:tblStylePr>
    <w:tblStylePr w:type="lastCol">
      <w:rPr>
        <w:b/>
        <w:bCs/>
        <w:color w:val="FFFFFF" w:themeColor="background1"/>
      </w:rPr>
      <w:tblPr/>
      <w:tcPr>
        <w:tcBorders>
          <w:left w:val="nil"/>
          <w:right w:val="nil"/>
          <w:insideH w:val="nil"/>
          <w:insideV w:val="nil"/>
        </w:tcBorders>
        <w:shd w:val="clear" w:color="auto" w:fill="009A9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semiHidden/>
    <w:unhideWhenUsed/>
    <w:rsid w:val="008129C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E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E00" w:themeFill="accent6"/>
      </w:tcPr>
    </w:tblStylePr>
    <w:tblStylePr w:type="lastCol">
      <w:rPr>
        <w:b/>
        <w:bCs/>
        <w:color w:val="FFFFFF" w:themeColor="background1"/>
      </w:rPr>
      <w:tblPr/>
      <w:tcPr>
        <w:tcBorders>
          <w:left w:val="nil"/>
          <w:right w:val="nil"/>
          <w:insideH w:val="nil"/>
          <w:insideV w:val="nil"/>
        </w:tcBorders>
        <w:shd w:val="clear" w:color="auto" w:fill="FFCE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8129C3"/>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8129C3"/>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8129C3"/>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8129C3"/>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8129C3"/>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8129C3"/>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8129C3"/>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urful1"/>
    <w:uiPriority w:val="99"/>
    <w:semiHidden/>
    <w:unhideWhenUsed/>
    <w:rsid w:val="008129C3"/>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urful2"/>
    <w:uiPriority w:val="99"/>
    <w:semiHidden/>
    <w:unhideWhenUsed/>
    <w:rsid w:val="008129C3"/>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urful3"/>
    <w:uiPriority w:val="99"/>
    <w:semiHidden/>
    <w:unhideWhenUsed/>
    <w:rsid w:val="008129C3"/>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8129C3"/>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8129C3"/>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8129C3"/>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8129C3"/>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8129C3"/>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8129C3"/>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8129C3"/>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8129C3"/>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next w:val="TableGrid2"/>
    <w:uiPriority w:val="99"/>
    <w:semiHidden/>
    <w:unhideWhenUsed/>
    <w:rsid w:val="008129C3"/>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8129C3"/>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8129C3"/>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8129C3"/>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8129C3"/>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8129C3"/>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8129C3"/>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8129C3"/>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8129C3"/>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8129C3"/>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8129C3"/>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8129C3"/>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8129C3"/>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8129C3"/>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8129C3"/>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8129C3"/>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8129C3"/>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8129C3"/>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8129C3"/>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8129C3"/>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8129C3"/>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8129C3"/>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8129C3"/>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8129C3"/>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8129C3"/>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AECOMNumbering1">
    <w:name w:val="AECOM Numbering1"/>
    <w:basedOn w:val="NoList"/>
    <w:uiPriority w:val="99"/>
    <w:semiHidden/>
    <w:unhideWhenUsed/>
    <w:rsid w:val="008129C3"/>
  </w:style>
  <w:style w:type="numbering" w:customStyle="1" w:styleId="AECOMAppendix1">
    <w:name w:val="AECOM Appendix1"/>
    <w:uiPriority w:val="99"/>
    <w:semiHidden/>
    <w:unhideWhenUsed/>
    <w:rsid w:val="008129C3"/>
  </w:style>
  <w:style w:type="table" w:customStyle="1" w:styleId="Plaingrid1">
    <w:name w:val="Plain grid1"/>
    <w:basedOn w:val="TableNormal"/>
    <w:uiPriority w:val="99"/>
    <w:semiHidden/>
    <w:unhideWhenUsed/>
    <w:rsid w:val="008129C3"/>
    <w:tblPr>
      <w:tblCellMar>
        <w:left w:w="0" w:type="dxa"/>
      </w:tblCellMar>
    </w:tblPr>
  </w:style>
  <w:style w:type="table" w:customStyle="1" w:styleId="Tablenoborders1">
    <w:name w:val="Table no borders1"/>
    <w:basedOn w:val="TableNormal"/>
    <w:uiPriority w:val="99"/>
    <w:semiHidden/>
    <w:unhideWhenUsed/>
    <w:rsid w:val="008129C3"/>
    <w:tblPr>
      <w:tblCellMar>
        <w:left w:w="0" w:type="dxa"/>
        <w:right w:w="0" w:type="dxa"/>
      </w:tblCellMar>
    </w:tblPr>
  </w:style>
  <w:style w:type="table" w:customStyle="1" w:styleId="AECOMcolouredtable1">
    <w:name w:val="AECOM coloured table1"/>
    <w:basedOn w:val="TableNormal"/>
    <w:uiPriority w:val="99"/>
    <w:semiHidden/>
    <w:unhideWhenUsed/>
    <w:rsid w:val="008129C3"/>
    <w:tblPr>
      <w:tblStyleRowBandSize w:val="1"/>
    </w:tblPr>
    <w:tblStylePr w:type="firstRow">
      <w:rPr>
        <w:b/>
        <w:color w:val="FFFFFF" w:themeColor="background1"/>
      </w:rPr>
      <w:tblPr/>
      <w:tcPr>
        <w:tcBorders>
          <w:bottom w:val="single" w:sz="12" w:space="0" w:color="FFFFFF" w:themeColor="background1"/>
          <w:insideV w:val="single" w:sz="4" w:space="0" w:color="FFFFFF" w:themeColor="background1"/>
        </w:tcBorders>
        <w:shd w:val="clear" w:color="auto" w:fill="008768" w:themeFill="accent1"/>
      </w:tcPr>
    </w:tblStylePr>
    <w:tblStylePr w:type="firstCol">
      <w:rPr>
        <w:b/>
        <w:color w:val="FFFFFF" w:themeColor="background1"/>
      </w:rPr>
      <w:tblPr/>
      <w:tcPr>
        <w:tcBorders>
          <w:right w:val="single" w:sz="12" w:space="0" w:color="FFFFFF" w:themeColor="background1"/>
        </w:tcBorders>
        <w:shd w:val="clear" w:color="auto" w:fill="008768" w:themeFill="accent1"/>
      </w:tcPr>
    </w:tblStylePr>
    <w:tblStylePr w:type="band1Horz">
      <w:tblPr/>
      <w:tcPr>
        <w:shd w:val="clear" w:color="auto" w:fill="B4FFED" w:themeFill="accent1" w:themeFillTint="33"/>
      </w:tcPr>
    </w:tblStylePr>
    <w:tblStylePr w:type="band2Horz">
      <w:tblPr/>
      <w:tcPr>
        <w:shd w:val="clear" w:color="auto" w:fill="69FFDC" w:themeFill="accent1" w:themeFillTint="66"/>
      </w:tcPr>
    </w:tblStylePr>
  </w:style>
  <w:style w:type="table" w:customStyle="1" w:styleId="AECOMtable11">
    <w:name w:val="AECOM table11"/>
    <w:basedOn w:val="TableNormal"/>
    <w:uiPriority w:val="99"/>
    <w:unhideWhenUsed/>
    <w:rsid w:val="008129C3"/>
    <w:rPr>
      <w:sz w:val="16"/>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008768" w:themeColor="accent1"/>
        <w:sz w:val="16"/>
      </w:rPr>
      <w:tblPr/>
      <w:tcPr>
        <w:tcBorders>
          <w:top w:val="nil"/>
          <w:left w:val="nil"/>
          <w:bottom w:val="single" w:sz="12" w:space="0" w:color="008768" w:themeColor="accent1"/>
          <w:right w:val="nil"/>
          <w:insideH w:val="nil"/>
          <w:insideV w:val="nil"/>
          <w:tl2br w:val="nil"/>
          <w:tr2bl w:val="nil"/>
        </w:tcBorders>
      </w:tcPr>
    </w:tblStylePr>
  </w:style>
  <w:style w:type="table" w:customStyle="1" w:styleId="TableGrid110">
    <w:name w:val="Table Grid11"/>
    <w:basedOn w:val="TableNormal"/>
    <w:next w:val="TableGrid"/>
    <w:uiPriority w:val="59"/>
    <w:unhideWhenUsed/>
    <w:rsid w:val="008129C3"/>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table" w:customStyle="1" w:styleId="Style111">
    <w:name w:val="Style111"/>
    <w:basedOn w:val="TableNormal"/>
    <w:uiPriority w:val="99"/>
    <w:rsid w:val="008129C3"/>
    <w:pPr>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tblPr/>
      <w:tcPr>
        <w:shd w:val="clear" w:color="auto" w:fill="000000"/>
      </w:tcPr>
    </w:tblStylePr>
  </w:style>
  <w:style w:type="table" w:customStyle="1" w:styleId="TableGrid22">
    <w:name w:val="Table Grid22"/>
    <w:basedOn w:val="TableNormal"/>
    <w:next w:val="TableGrid"/>
    <w:uiPriority w:val="59"/>
    <w:unhideWhenUsed/>
    <w:rsid w:val="008129C3"/>
    <w:rPr>
      <w:rFonts w:eastAsia="SimSun"/>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Arial" w:hAnsi="Arial"/>
        <w:b w:val="0"/>
      </w:rPr>
    </w:tblStylePr>
  </w:style>
  <w:style w:type="table" w:customStyle="1" w:styleId="ListTable311">
    <w:name w:val="List Table 311"/>
    <w:basedOn w:val="TableNormal"/>
    <w:uiPriority w:val="48"/>
    <w:rsid w:val="008129C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211">
    <w:name w:val="Table Grid211"/>
    <w:basedOn w:val="TableNormal"/>
    <w:next w:val="TableGrid"/>
    <w:uiPriority w:val="59"/>
    <w:unhideWhenUsed/>
    <w:rsid w:val="008129C3"/>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Style12">
    <w:name w:val="Style12"/>
    <w:basedOn w:val="TableNormal"/>
    <w:uiPriority w:val="99"/>
    <w:rsid w:val="008129C3"/>
    <w:pPr>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tblPr/>
      <w:tcPr>
        <w:shd w:val="clear" w:color="auto" w:fill="000000" w:themeFill="text1"/>
      </w:tcPr>
    </w:tblStylePr>
  </w:style>
  <w:style w:type="table" w:customStyle="1" w:styleId="TableGrid310">
    <w:name w:val="Table Grid31"/>
    <w:basedOn w:val="TableNormal"/>
    <w:next w:val="TableGrid"/>
    <w:uiPriority w:val="59"/>
    <w:unhideWhenUsed/>
    <w:rsid w:val="008129C3"/>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Theme="majorHAnsi" w:hAnsiTheme="majorHAnsi"/>
        <w:b w:val="0"/>
      </w:rPr>
    </w:tblStylePr>
  </w:style>
  <w:style w:type="table" w:customStyle="1" w:styleId="TableGrid23">
    <w:name w:val="Table Grid23"/>
    <w:basedOn w:val="TableNormal"/>
    <w:next w:val="TableGrid"/>
    <w:uiPriority w:val="39"/>
    <w:rsid w:val="008129C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129C3"/>
    <w:rPr>
      <w:color w:val="605E5C"/>
      <w:shd w:val="clear" w:color="auto" w:fill="E1DFDD"/>
    </w:rPr>
  </w:style>
  <w:style w:type="table" w:customStyle="1" w:styleId="TableGrid50">
    <w:name w:val="Table Grid5"/>
    <w:basedOn w:val="TableNormal"/>
    <w:next w:val="TableGrid"/>
    <w:uiPriority w:val="59"/>
    <w:unhideWhenUsed/>
    <w:rsid w:val="009E27E9"/>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blStylePr w:type="firstRow">
      <w:rPr>
        <w:rFonts w:ascii="Calibri Light" w:hAnsi="Calibri Light"/>
        <w:b w:val="0"/>
      </w:rPr>
    </w:tblStylePr>
  </w:style>
  <w:style w:type="paragraph" w:customStyle="1" w:styleId="AppendixText">
    <w:name w:val="Appendix Text"/>
    <w:basedOn w:val="BodyText"/>
    <w:link w:val="AppendixTextChar"/>
    <w:uiPriority w:val="1"/>
    <w:qFormat/>
    <w:rsid w:val="00CC131A"/>
    <w:pPr>
      <w:numPr>
        <w:ilvl w:val="1"/>
        <w:numId w:val="22"/>
      </w:numPr>
      <w:spacing w:line="276" w:lineRule="auto"/>
    </w:pPr>
    <w:rPr>
      <w:rFonts w:cstheme="minorHAnsi"/>
      <w:szCs w:val="24"/>
    </w:rPr>
  </w:style>
  <w:style w:type="character" w:customStyle="1" w:styleId="AppendixTextChar">
    <w:name w:val="Appendix Text Char"/>
    <w:basedOn w:val="BodyTextChar"/>
    <w:link w:val="AppendixText"/>
    <w:uiPriority w:val="1"/>
    <w:rsid w:val="00CC131A"/>
    <w:rPr>
      <w:rFonts w:cstheme="minorHAnsi"/>
      <w:kern w:val="18"/>
      <w:sz w:val="24"/>
      <w:szCs w:val="24"/>
    </w:rPr>
  </w:style>
  <w:style w:type="paragraph" w:customStyle="1" w:styleId="ExecutiveSummary1">
    <w:name w:val="Executive Summary 1"/>
    <w:basedOn w:val="Heading1"/>
    <w:link w:val="ExecutiveSummary1Char"/>
    <w:uiPriority w:val="1"/>
    <w:qFormat/>
    <w:rsid w:val="00CC131A"/>
    <w:pPr>
      <w:numPr>
        <w:numId w:val="0"/>
      </w:numPr>
    </w:pPr>
  </w:style>
  <w:style w:type="character" w:customStyle="1" w:styleId="ExecutiveSummary1Char">
    <w:name w:val="Executive Summary 1 Char"/>
    <w:basedOn w:val="Heading1Char"/>
    <w:link w:val="ExecutiveSummary1"/>
    <w:uiPriority w:val="1"/>
    <w:rsid w:val="00CC131A"/>
    <w:rPr>
      <w:rFonts w:asciiTheme="majorHAnsi" w:eastAsiaTheme="majorEastAsia" w:hAnsiTheme="majorHAnsi" w:cstheme="majorBidi"/>
      <w:b/>
      <w:bCs/>
      <w:color w:val="00353E"/>
      <w:kern w:val="18"/>
      <w:sz w:val="48"/>
      <w:szCs w:val="28"/>
      <w:lang w:val="en-US"/>
    </w:rPr>
  </w:style>
  <w:style w:type="paragraph" w:customStyle="1" w:styleId="ExecutiveSummary2">
    <w:name w:val="Executive Summary 2"/>
    <w:basedOn w:val="ExecutiveSummary1"/>
    <w:link w:val="ExecutiveSummary2Char"/>
    <w:uiPriority w:val="1"/>
    <w:qFormat/>
    <w:rsid w:val="00514B9E"/>
    <w:pPr>
      <w:ind w:right="51"/>
      <w:outlineLvl w:val="1"/>
    </w:pPr>
    <w:rPr>
      <w:sz w:val="36"/>
      <w:szCs w:val="20"/>
    </w:rPr>
  </w:style>
  <w:style w:type="character" w:customStyle="1" w:styleId="ExecutiveSummary2Char">
    <w:name w:val="Executive Summary 2 Char"/>
    <w:basedOn w:val="ExecutiveSummary1Char"/>
    <w:link w:val="ExecutiveSummary2"/>
    <w:uiPriority w:val="1"/>
    <w:rsid w:val="00514B9E"/>
    <w:rPr>
      <w:rFonts w:asciiTheme="majorHAnsi" w:eastAsiaTheme="majorEastAsia" w:hAnsiTheme="majorHAnsi" w:cstheme="majorBidi"/>
      <w:b/>
      <w:bCs/>
      <w:color w:val="00353E"/>
      <w:kern w:val="18"/>
      <w:sz w:val="36"/>
      <w:szCs w:val="20"/>
      <w:lang w:val="en-US"/>
    </w:rPr>
  </w:style>
  <w:style w:type="paragraph" w:customStyle="1" w:styleId="ExecutiveSummaryText">
    <w:name w:val="Executive Summary Text"/>
    <w:basedOn w:val="Numberedtext"/>
    <w:link w:val="ExecutiveSummaryTextChar"/>
    <w:uiPriority w:val="1"/>
    <w:qFormat/>
    <w:rsid w:val="002E1EF2"/>
    <w:pPr>
      <w:numPr>
        <w:ilvl w:val="0"/>
        <w:numId w:val="0"/>
      </w:numPr>
    </w:pPr>
  </w:style>
  <w:style w:type="character" w:customStyle="1" w:styleId="NumberedtextChar">
    <w:name w:val="Numbered text Char"/>
    <w:basedOn w:val="Heading1Char"/>
    <w:link w:val="Numberedtext"/>
    <w:uiPriority w:val="2"/>
    <w:rsid w:val="00CC131A"/>
    <w:rPr>
      <w:rFonts w:asciiTheme="majorHAnsi" w:eastAsiaTheme="majorEastAsia" w:hAnsiTheme="majorHAnsi" w:cstheme="majorBidi"/>
      <w:b w:val="0"/>
      <w:bCs w:val="0"/>
      <w:color w:val="00353E"/>
      <w:kern w:val="18"/>
      <w:sz w:val="24"/>
      <w:szCs w:val="14"/>
      <w:lang w:val="en-US"/>
    </w:rPr>
  </w:style>
  <w:style w:type="character" w:customStyle="1" w:styleId="ExecutiveSummaryTextChar">
    <w:name w:val="Executive Summary Text Char"/>
    <w:basedOn w:val="NumberedtextChar"/>
    <w:link w:val="ExecutiveSummaryText"/>
    <w:uiPriority w:val="1"/>
    <w:rsid w:val="002E1EF2"/>
    <w:rPr>
      <w:rFonts w:asciiTheme="majorHAnsi" w:eastAsiaTheme="majorEastAsia" w:hAnsiTheme="majorHAnsi" w:cstheme="majorBidi"/>
      <w:b w:val="0"/>
      <w:bCs w:val="0"/>
      <w:color w:val="00353E"/>
      <w:kern w:val="18"/>
      <w:sz w:val="24"/>
      <w:szCs w:val="14"/>
      <w:lang w:val="en-US"/>
    </w:rPr>
  </w:style>
  <w:style w:type="paragraph" w:customStyle="1" w:styleId="ExecutiveSummary3">
    <w:name w:val="Executive Summary 3"/>
    <w:basedOn w:val="ExecutiveSummary1"/>
    <w:link w:val="ExecutiveSummary3Char"/>
    <w:uiPriority w:val="1"/>
    <w:qFormat/>
    <w:rsid w:val="00514B9E"/>
    <w:pPr>
      <w:ind w:right="51"/>
      <w:outlineLvl w:val="2"/>
    </w:pPr>
    <w:rPr>
      <w:sz w:val="30"/>
      <w:szCs w:val="30"/>
    </w:rPr>
  </w:style>
  <w:style w:type="character" w:customStyle="1" w:styleId="ExecutiveSummary3Char">
    <w:name w:val="Executive Summary 3 Char"/>
    <w:basedOn w:val="ExecutiveSummary1Char"/>
    <w:link w:val="ExecutiveSummary3"/>
    <w:uiPriority w:val="1"/>
    <w:rsid w:val="00514B9E"/>
    <w:rPr>
      <w:rFonts w:asciiTheme="majorHAnsi" w:eastAsiaTheme="majorEastAsia" w:hAnsiTheme="majorHAnsi" w:cstheme="majorBidi"/>
      <w:b/>
      <w:bCs/>
      <w:color w:val="00353E"/>
      <w:kern w:val="18"/>
      <w:sz w:val="30"/>
      <w:szCs w:val="30"/>
      <w:lang w:val="en-US"/>
    </w:rPr>
  </w:style>
  <w:style w:type="paragraph" w:customStyle="1" w:styleId="Appendix3">
    <w:name w:val="Appendix 3"/>
    <w:basedOn w:val="Appendixheading2"/>
    <w:link w:val="Appendix3Char"/>
    <w:uiPriority w:val="1"/>
    <w:qFormat/>
    <w:rsid w:val="00F05200"/>
    <w:pPr>
      <w:ind w:right="51"/>
      <w:outlineLvl w:val="2"/>
    </w:pPr>
    <w:rPr>
      <w:sz w:val="30"/>
      <w:szCs w:val="30"/>
    </w:rPr>
  </w:style>
  <w:style w:type="character" w:customStyle="1" w:styleId="Appendixheading2Char">
    <w:name w:val="Appendix heading 2 Char"/>
    <w:basedOn w:val="Heading2Char"/>
    <w:link w:val="Appendixheading2"/>
    <w:uiPriority w:val="7"/>
    <w:rsid w:val="00201C53"/>
    <w:rPr>
      <w:rFonts w:asciiTheme="majorHAnsi" w:eastAsiaTheme="majorEastAsia" w:hAnsiTheme="majorHAnsi" w:cstheme="majorHAnsi"/>
      <w:b/>
      <w:bCs/>
      <w:color w:val="00353E"/>
      <w:kern w:val="18"/>
      <w:sz w:val="36"/>
      <w:szCs w:val="36"/>
      <w:lang w:val="en-US"/>
    </w:rPr>
  </w:style>
  <w:style w:type="character" w:customStyle="1" w:styleId="Appendix3Char">
    <w:name w:val="Appendix 3 Char"/>
    <w:basedOn w:val="Appendixheading2Char"/>
    <w:link w:val="Appendix3"/>
    <w:uiPriority w:val="1"/>
    <w:rsid w:val="00F05200"/>
    <w:rPr>
      <w:rFonts w:asciiTheme="majorHAnsi" w:eastAsiaTheme="majorEastAsia" w:hAnsiTheme="majorHAnsi" w:cstheme="majorHAnsi"/>
      <w:b/>
      <w:bCs/>
      <w:color w:val="00353E"/>
      <w:kern w:val="18"/>
      <w:sz w:val="30"/>
      <w:szCs w:val="3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091098">
      <w:bodyDiv w:val="1"/>
      <w:marLeft w:val="0"/>
      <w:marRight w:val="0"/>
      <w:marTop w:val="0"/>
      <w:marBottom w:val="0"/>
      <w:divBdr>
        <w:top w:val="none" w:sz="0" w:space="0" w:color="auto"/>
        <w:left w:val="none" w:sz="0" w:space="0" w:color="auto"/>
        <w:bottom w:val="none" w:sz="0" w:space="0" w:color="auto"/>
        <w:right w:val="none" w:sz="0" w:space="0" w:color="auto"/>
      </w:divBdr>
    </w:div>
    <w:div w:id="79956991">
      <w:bodyDiv w:val="1"/>
      <w:marLeft w:val="0"/>
      <w:marRight w:val="0"/>
      <w:marTop w:val="0"/>
      <w:marBottom w:val="0"/>
      <w:divBdr>
        <w:top w:val="none" w:sz="0" w:space="0" w:color="auto"/>
        <w:left w:val="none" w:sz="0" w:space="0" w:color="auto"/>
        <w:bottom w:val="none" w:sz="0" w:space="0" w:color="auto"/>
        <w:right w:val="none" w:sz="0" w:space="0" w:color="auto"/>
      </w:divBdr>
    </w:div>
    <w:div w:id="185825558">
      <w:bodyDiv w:val="1"/>
      <w:marLeft w:val="0"/>
      <w:marRight w:val="0"/>
      <w:marTop w:val="0"/>
      <w:marBottom w:val="0"/>
      <w:divBdr>
        <w:top w:val="none" w:sz="0" w:space="0" w:color="auto"/>
        <w:left w:val="none" w:sz="0" w:space="0" w:color="auto"/>
        <w:bottom w:val="none" w:sz="0" w:space="0" w:color="auto"/>
        <w:right w:val="none" w:sz="0" w:space="0" w:color="auto"/>
      </w:divBdr>
    </w:div>
    <w:div w:id="306201046">
      <w:bodyDiv w:val="1"/>
      <w:marLeft w:val="0"/>
      <w:marRight w:val="0"/>
      <w:marTop w:val="0"/>
      <w:marBottom w:val="0"/>
      <w:divBdr>
        <w:top w:val="none" w:sz="0" w:space="0" w:color="auto"/>
        <w:left w:val="none" w:sz="0" w:space="0" w:color="auto"/>
        <w:bottom w:val="none" w:sz="0" w:space="0" w:color="auto"/>
        <w:right w:val="none" w:sz="0" w:space="0" w:color="auto"/>
      </w:divBdr>
    </w:div>
    <w:div w:id="357125141">
      <w:bodyDiv w:val="1"/>
      <w:marLeft w:val="0"/>
      <w:marRight w:val="0"/>
      <w:marTop w:val="0"/>
      <w:marBottom w:val="0"/>
      <w:divBdr>
        <w:top w:val="none" w:sz="0" w:space="0" w:color="auto"/>
        <w:left w:val="none" w:sz="0" w:space="0" w:color="auto"/>
        <w:bottom w:val="none" w:sz="0" w:space="0" w:color="auto"/>
        <w:right w:val="none" w:sz="0" w:space="0" w:color="auto"/>
      </w:divBdr>
    </w:div>
    <w:div w:id="360741759">
      <w:bodyDiv w:val="1"/>
      <w:marLeft w:val="0"/>
      <w:marRight w:val="0"/>
      <w:marTop w:val="0"/>
      <w:marBottom w:val="0"/>
      <w:divBdr>
        <w:top w:val="none" w:sz="0" w:space="0" w:color="auto"/>
        <w:left w:val="none" w:sz="0" w:space="0" w:color="auto"/>
        <w:bottom w:val="none" w:sz="0" w:space="0" w:color="auto"/>
        <w:right w:val="none" w:sz="0" w:space="0" w:color="auto"/>
      </w:divBdr>
    </w:div>
    <w:div w:id="398941401">
      <w:bodyDiv w:val="1"/>
      <w:marLeft w:val="0"/>
      <w:marRight w:val="0"/>
      <w:marTop w:val="0"/>
      <w:marBottom w:val="0"/>
      <w:divBdr>
        <w:top w:val="none" w:sz="0" w:space="0" w:color="auto"/>
        <w:left w:val="none" w:sz="0" w:space="0" w:color="auto"/>
        <w:bottom w:val="none" w:sz="0" w:space="0" w:color="auto"/>
        <w:right w:val="none" w:sz="0" w:space="0" w:color="auto"/>
      </w:divBdr>
    </w:div>
    <w:div w:id="432358847">
      <w:bodyDiv w:val="1"/>
      <w:marLeft w:val="0"/>
      <w:marRight w:val="0"/>
      <w:marTop w:val="0"/>
      <w:marBottom w:val="0"/>
      <w:divBdr>
        <w:top w:val="none" w:sz="0" w:space="0" w:color="auto"/>
        <w:left w:val="none" w:sz="0" w:space="0" w:color="auto"/>
        <w:bottom w:val="none" w:sz="0" w:space="0" w:color="auto"/>
        <w:right w:val="none" w:sz="0" w:space="0" w:color="auto"/>
      </w:divBdr>
    </w:div>
    <w:div w:id="432752566">
      <w:bodyDiv w:val="1"/>
      <w:marLeft w:val="0"/>
      <w:marRight w:val="0"/>
      <w:marTop w:val="0"/>
      <w:marBottom w:val="0"/>
      <w:divBdr>
        <w:top w:val="none" w:sz="0" w:space="0" w:color="auto"/>
        <w:left w:val="none" w:sz="0" w:space="0" w:color="auto"/>
        <w:bottom w:val="none" w:sz="0" w:space="0" w:color="auto"/>
        <w:right w:val="none" w:sz="0" w:space="0" w:color="auto"/>
      </w:divBdr>
    </w:div>
    <w:div w:id="464201811">
      <w:bodyDiv w:val="1"/>
      <w:marLeft w:val="0"/>
      <w:marRight w:val="0"/>
      <w:marTop w:val="0"/>
      <w:marBottom w:val="0"/>
      <w:divBdr>
        <w:top w:val="none" w:sz="0" w:space="0" w:color="auto"/>
        <w:left w:val="none" w:sz="0" w:space="0" w:color="auto"/>
        <w:bottom w:val="none" w:sz="0" w:space="0" w:color="auto"/>
        <w:right w:val="none" w:sz="0" w:space="0" w:color="auto"/>
      </w:divBdr>
    </w:div>
    <w:div w:id="466748102">
      <w:bodyDiv w:val="1"/>
      <w:marLeft w:val="0"/>
      <w:marRight w:val="0"/>
      <w:marTop w:val="0"/>
      <w:marBottom w:val="0"/>
      <w:divBdr>
        <w:top w:val="none" w:sz="0" w:space="0" w:color="auto"/>
        <w:left w:val="none" w:sz="0" w:space="0" w:color="auto"/>
        <w:bottom w:val="none" w:sz="0" w:space="0" w:color="auto"/>
        <w:right w:val="none" w:sz="0" w:space="0" w:color="auto"/>
      </w:divBdr>
    </w:div>
    <w:div w:id="482545349">
      <w:bodyDiv w:val="1"/>
      <w:marLeft w:val="0"/>
      <w:marRight w:val="0"/>
      <w:marTop w:val="0"/>
      <w:marBottom w:val="0"/>
      <w:divBdr>
        <w:top w:val="none" w:sz="0" w:space="0" w:color="auto"/>
        <w:left w:val="none" w:sz="0" w:space="0" w:color="auto"/>
        <w:bottom w:val="none" w:sz="0" w:space="0" w:color="auto"/>
        <w:right w:val="none" w:sz="0" w:space="0" w:color="auto"/>
      </w:divBdr>
    </w:div>
    <w:div w:id="511726157">
      <w:bodyDiv w:val="1"/>
      <w:marLeft w:val="0"/>
      <w:marRight w:val="0"/>
      <w:marTop w:val="0"/>
      <w:marBottom w:val="0"/>
      <w:divBdr>
        <w:top w:val="none" w:sz="0" w:space="0" w:color="auto"/>
        <w:left w:val="none" w:sz="0" w:space="0" w:color="auto"/>
        <w:bottom w:val="none" w:sz="0" w:space="0" w:color="auto"/>
        <w:right w:val="none" w:sz="0" w:space="0" w:color="auto"/>
      </w:divBdr>
    </w:div>
    <w:div w:id="575016728">
      <w:bodyDiv w:val="1"/>
      <w:marLeft w:val="0"/>
      <w:marRight w:val="0"/>
      <w:marTop w:val="0"/>
      <w:marBottom w:val="0"/>
      <w:divBdr>
        <w:top w:val="none" w:sz="0" w:space="0" w:color="auto"/>
        <w:left w:val="none" w:sz="0" w:space="0" w:color="auto"/>
        <w:bottom w:val="none" w:sz="0" w:space="0" w:color="auto"/>
        <w:right w:val="none" w:sz="0" w:space="0" w:color="auto"/>
      </w:divBdr>
    </w:div>
    <w:div w:id="585647117">
      <w:bodyDiv w:val="1"/>
      <w:marLeft w:val="0"/>
      <w:marRight w:val="0"/>
      <w:marTop w:val="0"/>
      <w:marBottom w:val="0"/>
      <w:divBdr>
        <w:top w:val="none" w:sz="0" w:space="0" w:color="auto"/>
        <w:left w:val="none" w:sz="0" w:space="0" w:color="auto"/>
        <w:bottom w:val="none" w:sz="0" w:space="0" w:color="auto"/>
        <w:right w:val="none" w:sz="0" w:space="0" w:color="auto"/>
      </w:divBdr>
    </w:div>
    <w:div w:id="599531020">
      <w:bodyDiv w:val="1"/>
      <w:marLeft w:val="0"/>
      <w:marRight w:val="0"/>
      <w:marTop w:val="0"/>
      <w:marBottom w:val="0"/>
      <w:divBdr>
        <w:top w:val="none" w:sz="0" w:space="0" w:color="auto"/>
        <w:left w:val="none" w:sz="0" w:space="0" w:color="auto"/>
        <w:bottom w:val="none" w:sz="0" w:space="0" w:color="auto"/>
        <w:right w:val="none" w:sz="0" w:space="0" w:color="auto"/>
      </w:divBdr>
    </w:div>
    <w:div w:id="634945422">
      <w:bodyDiv w:val="1"/>
      <w:marLeft w:val="0"/>
      <w:marRight w:val="0"/>
      <w:marTop w:val="0"/>
      <w:marBottom w:val="0"/>
      <w:divBdr>
        <w:top w:val="none" w:sz="0" w:space="0" w:color="auto"/>
        <w:left w:val="none" w:sz="0" w:space="0" w:color="auto"/>
        <w:bottom w:val="none" w:sz="0" w:space="0" w:color="auto"/>
        <w:right w:val="none" w:sz="0" w:space="0" w:color="auto"/>
      </w:divBdr>
    </w:div>
    <w:div w:id="640039594">
      <w:bodyDiv w:val="1"/>
      <w:marLeft w:val="0"/>
      <w:marRight w:val="0"/>
      <w:marTop w:val="0"/>
      <w:marBottom w:val="0"/>
      <w:divBdr>
        <w:top w:val="none" w:sz="0" w:space="0" w:color="auto"/>
        <w:left w:val="none" w:sz="0" w:space="0" w:color="auto"/>
        <w:bottom w:val="none" w:sz="0" w:space="0" w:color="auto"/>
        <w:right w:val="none" w:sz="0" w:space="0" w:color="auto"/>
      </w:divBdr>
    </w:div>
    <w:div w:id="660893195">
      <w:bodyDiv w:val="1"/>
      <w:marLeft w:val="0"/>
      <w:marRight w:val="0"/>
      <w:marTop w:val="0"/>
      <w:marBottom w:val="0"/>
      <w:divBdr>
        <w:top w:val="none" w:sz="0" w:space="0" w:color="auto"/>
        <w:left w:val="none" w:sz="0" w:space="0" w:color="auto"/>
        <w:bottom w:val="none" w:sz="0" w:space="0" w:color="auto"/>
        <w:right w:val="none" w:sz="0" w:space="0" w:color="auto"/>
      </w:divBdr>
    </w:div>
    <w:div w:id="731923175">
      <w:bodyDiv w:val="1"/>
      <w:marLeft w:val="0"/>
      <w:marRight w:val="0"/>
      <w:marTop w:val="0"/>
      <w:marBottom w:val="0"/>
      <w:divBdr>
        <w:top w:val="none" w:sz="0" w:space="0" w:color="auto"/>
        <w:left w:val="none" w:sz="0" w:space="0" w:color="auto"/>
        <w:bottom w:val="none" w:sz="0" w:space="0" w:color="auto"/>
        <w:right w:val="none" w:sz="0" w:space="0" w:color="auto"/>
      </w:divBdr>
    </w:div>
    <w:div w:id="749158205">
      <w:bodyDiv w:val="1"/>
      <w:marLeft w:val="0"/>
      <w:marRight w:val="0"/>
      <w:marTop w:val="0"/>
      <w:marBottom w:val="0"/>
      <w:divBdr>
        <w:top w:val="none" w:sz="0" w:space="0" w:color="auto"/>
        <w:left w:val="none" w:sz="0" w:space="0" w:color="auto"/>
        <w:bottom w:val="none" w:sz="0" w:space="0" w:color="auto"/>
        <w:right w:val="none" w:sz="0" w:space="0" w:color="auto"/>
      </w:divBdr>
    </w:div>
    <w:div w:id="766341333">
      <w:bodyDiv w:val="1"/>
      <w:marLeft w:val="0"/>
      <w:marRight w:val="0"/>
      <w:marTop w:val="0"/>
      <w:marBottom w:val="0"/>
      <w:divBdr>
        <w:top w:val="none" w:sz="0" w:space="0" w:color="auto"/>
        <w:left w:val="none" w:sz="0" w:space="0" w:color="auto"/>
        <w:bottom w:val="none" w:sz="0" w:space="0" w:color="auto"/>
        <w:right w:val="none" w:sz="0" w:space="0" w:color="auto"/>
      </w:divBdr>
    </w:div>
    <w:div w:id="816915229">
      <w:bodyDiv w:val="1"/>
      <w:marLeft w:val="0"/>
      <w:marRight w:val="0"/>
      <w:marTop w:val="0"/>
      <w:marBottom w:val="0"/>
      <w:divBdr>
        <w:top w:val="none" w:sz="0" w:space="0" w:color="auto"/>
        <w:left w:val="none" w:sz="0" w:space="0" w:color="auto"/>
        <w:bottom w:val="none" w:sz="0" w:space="0" w:color="auto"/>
        <w:right w:val="none" w:sz="0" w:space="0" w:color="auto"/>
      </w:divBdr>
    </w:div>
    <w:div w:id="855115835">
      <w:bodyDiv w:val="1"/>
      <w:marLeft w:val="0"/>
      <w:marRight w:val="0"/>
      <w:marTop w:val="0"/>
      <w:marBottom w:val="0"/>
      <w:divBdr>
        <w:top w:val="none" w:sz="0" w:space="0" w:color="auto"/>
        <w:left w:val="none" w:sz="0" w:space="0" w:color="auto"/>
        <w:bottom w:val="none" w:sz="0" w:space="0" w:color="auto"/>
        <w:right w:val="none" w:sz="0" w:space="0" w:color="auto"/>
      </w:divBdr>
    </w:div>
    <w:div w:id="887034729">
      <w:bodyDiv w:val="1"/>
      <w:marLeft w:val="0"/>
      <w:marRight w:val="0"/>
      <w:marTop w:val="0"/>
      <w:marBottom w:val="0"/>
      <w:divBdr>
        <w:top w:val="none" w:sz="0" w:space="0" w:color="auto"/>
        <w:left w:val="none" w:sz="0" w:space="0" w:color="auto"/>
        <w:bottom w:val="none" w:sz="0" w:space="0" w:color="auto"/>
        <w:right w:val="none" w:sz="0" w:space="0" w:color="auto"/>
      </w:divBdr>
    </w:div>
    <w:div w:id="897546408">
      <w:bodyDiv w:val="1"/>
      <w:marLeft w:val="0"/>
      <w:marRight w:val="0"/>
      <w:marTop w:val="0"/>
      <w:marBottom w:val="0"/>
      <w:divBdr>
        <w:top w:val="none" w:sz="0" w:space="0" w:color="auto"/>
        <w:left w:val="none" w:sz="0" w:space="0" w:color="auto"/>
        <w:bottom w:val="none" w:sz="0" w:space="0" w:color="auto"/>
        <w:right w:val="none" w:sz="0" w:space="0" w:color="auto"/>
      </w:divBdr>
    </w:div>
    <w:div w:id="915088439">
      <w:bodyDiv w:val="1"/>
      <w:marLeft w:val="0"/>
      <w:marRight w:val="0"/>
      <w:marTop w:val="0"/>
      <w:marBottom w:val="0"/>
      <w:divBdr>
        <w:top w:val="none" w:sz="0" w:space="0" w:color="auto"/>
        <w:left w:val="none" w:sz="0" w:space="0" w:color="auto"/>
        <w:bottom w:val="none" w:sz="0" w:space="0" w:color="auto"/>
        <w:right w:val="none" w:sz="0" w:space="0" w:color="auto"/>
      </w:divBdr>
    </w:div>
    <w:div w:id="983850807">
      <w:bodyDiv w:val="1"/>
      <w:marLeft w:val="0"/>
      <w:marRight w:val="0"/>
      <w:marTop w:val="0"/>
      <w:marBottom w:val="0"/>
      <w:divBdr>
        <w:top w:val="none" w:sz="0" w:space="0" w:color="auto"/>
        <w:left w:val="none" w:sz="0" w:space="0" w:color="auto"/>
        <w:bottom w:val="none" w:sz="0" w:space="0" w:color="auto"/>
        <w:right w:val="none" w:sz="0" w:space="0" w:color="auto"/>
      </w:divBdr>
    </w:div>
    <w:div w:id="984357234">
      <w:bodyDiv w:val="1"/>
      <w:marLeft w:val="0"/>
      <w:marRight w:val="0"/>
      <w:marTop w:val="0"/>
      <w:marBottom w:val="0"/>
      <w:divBdr>
        <w:top w:val="none" w:sz="0" w:space="0" w:color="auto"/>
        <w:left w:val="none" w:sz="0" w:space="0" w:color="auto"/>
        <w:bottom w:val="none" w:sz="0" w:space="0" w:color="auto"/>
        <w:right w:val="none" w:sz="0" w:space="0" w:color="auto"/>
      </w:divBdr>
    </w:div>
    <w:div w:id="991521572">
      <w:bodyDiv w:val="1"/>
      <w:marLeft w:val="0"/>
      <w:marRight w:val="0"/>
      <w:marTop w:val="0"/>
      <w:marBottom w:val="0"/>
      <w:divBdr>
        <w:top w:val="none" w:sz="0" w:space="0" w:color="auto"/>
        <w:left w:val="none" w:sz="0" w:space="0" w:color="auto"/>
        <w:bottom w:val="none" w:sz="0" w:space="0" w:color="auto"/>
        <w:right w:val="none" w:sz="0" w:space="0" w:color="auto"/>
      </w:divBdr>
    </w:div>
    <w:div w:id="993681354">
      <w:bodyDiv w:val="1"/>
      <w:marLeft w:val="0"/>
      <w:marRight w:val="0"/>
      <w:marTop w:val="0"/>
      <w:marBottom w:val="0"/>
      <w:divBdr>
        <w:top w:val="none" w:sz="0" w:space="0" w:color="auto"/>
        <w:left w:val="none" w:sz="0" w:space="0" w:color="auto"/>
        <w:bottom w:val="none" w:sz="0" w:space="0" w:color="auto"/>
        <w:right w:val="none" w:sz="0" w:space="0" w:color="auto"/>
      </w:divBdr>
    </w:div>
    <w:div w:id="995959565">
      <w:bodyDiv w:val="1"/>
      <w:marLeft w:val="0"/>
      <w:marRight w:val="0"/>
      <w:marTop w:val="0"/>
      <w:marBottom w:val="0"/>
      <w:divBdr>
        <w:top w:val="none" w:sz="0" w:space="0" w:color="auto"/>
        <w:left w:val="none" w:sz="0" w:space="0" w:color="auto"/>
        <w:bottom w:val="none" w:sz="0" w:space="0" w:color="auto"/>
        <w:right w:val="none" w:sz="0" w:space="0" w:color="auto"/>
      </w:divBdr>
    </w:div>
    <w:div w:id="1011645994">
      <w:bodyDiv w:val="1"/>
      <w:marLeft w:val="0"/>
      <w:marRight w:val="0"/>
      <w:marTop w:val="0"/>
      <w:marBottom w:val="0"/>
      <w:divBdr>
        <w:top w:val="none" w:sz="0" w:space="0" w:color="auto"/>
        <w:left w:val="none" w:sz="0" w:space="0" w:color="auto"/>
        <w:bottom w:val="none" w:sz="0" w:space="0" w:color="auto"/>
        <w:right w:val="none" w:sz="0" w:space="0" w:color="auto"/>
      </w:divBdr>
    </w:div>
    <w:div w:id="1068966330">
      <w:bodyDiv w:val="1"/>
      <w:marLeft w:val="0"/>
      <w:marRight w:val="0"/>
      <w:marTop w:val="0"/>
      <w:marBottom w:val="0"/>
      <w:divBdr>
        <w:top w:val="none" w:sz="0" w:space="0" w:color="auto"/>
        <w:left w:val="none" w:sz="0" w:space="0" w:color="auto"/>
        <w:bottom w:val="none" w:sz="0" w:space="0" w:color="auto"/>
        <w:right w:val="none" w:sz="0" w:space="0" w:color="auto"/>
      </w:divBdr>
    </w:div>
    <w:div w:id="1080324113">
      <w:bodyDiv w:val="1"/>
      <w:marLeft w:val="0"/>
      <w:marRight w:val="0"/>
      <w:marTop w:val="0"/>
      <w:marBottom w:val="0"/>
      <w:divBdr>
        <w:top w:val="none" w:sz="0" w:space="0" w:color="auto"/>
        <w:left w:val="none" w:sz="0" w:space="0" w:color="auto"/>
        <w:bottom w:val="none" w:sz="0" w:space="0" w:color="auto"/>
        <w:right w:val="none" w:sz="0" w:space="0" w:color="auto"/>
      </w:divBdr>
    </w:div>
    <w:div w:id="1083452680">
      <w:bodyDiv w:val="1"/>
      <w:marLeft w:val="0"/>
      <w:marRight w:val="0"/>
      <w:marTop w:val="0"/>
      <w:marBottom w:val="0"/>
      <w:divBdr>
        <w:top w:val="none" w:sz="0" w:space="0" w:color="auto"/>
        <w:left w:val="none" w:sz="0" w:space="0" w:color="auto"/>
        <w:bottom w:val="none" w:sz="0" w:space="0" w:color="auto"/>
        <w:right w:val="none" w:sz="0" w:space="0" w:color="auto"/>
      </w:divBdr>
    </w:div>
    <w:div w:id="1090540594">
      <w:bodyDiv w:val="1"/>
      <w:marLeft w:val="0"/>
      <w:marRight w:val="0"/>
      <w:marTop w:val="0"/>
      <w:marBottom w:val="0"/>
      <w:divBdr>
        <w:top w:val="none" w:sz="0" w:space="0" w:color="auto"/>
        <w:left w:val="none" w:sz="0" w:space="0" w:color="auto"/>
        <w:bottom w:val="none" w:sz="0" w:space="0" w:color="auto"/>
        <w:right w:val="none" w:sz="0" w:space="0" w:color="auto"/>
      </w:divBdr>
    </w:div>
    <w:div w:id="1175000280">
      <w:bodyDiv w:val="1"/>
      <w:marLeft w:val="0"/>
      <w:marRight w:val="0"/>
      <w:marTop w:val="0"/>
      <w:marBottom w:val="0"/>
      <w:divBdr>
        <w:top w:val="none" w:sz="0" w:space="0" w:color="auto"/>
        <w:left w:val="none" w:sz="0" w:space="0" w:color="auto"/>
        <w:bottom w:val="none" w:sz="0" w:space="0" w:color="auto"/>
        <w:right w:val="none" w:sz="0" w:space="0" w:color="auto"/>
      </w:divBdr>
    </w:div>
    <w:div w:id="1175997948">
      <w:bodyDiv w:val="1"/>
      <w:marLeft w:val="0"/>
      <w:marRight w:val="0"/>
      <w:marTop w:val="0"/>
      <w:marBottom w:val="0"/>
      <w:divBdr>
        <w:top w:val="none" w:sz="0" w:space="0" w:color="auto"/>
        <w:left w:val="none" w:sz="0" w:space="0" w:color="auto"/>
        <w:bottom w:val="none" w:sz="0" w:space="0" w:color="auto"/>
        <w:right w:val="none" w:sz="0" w:space="0" w:color="auto"/>
      </w:divBdr>
    </w:div>
    <w:div w:id="1187064428">
      <w:bodyDiv w:val="1"/>
      <w:marLeft w:val="0"/>
      <w:marRight w:val="0"/>
      <w:marTop w:val="0"/>
      <w:marBottom w:val="0"/>
      <w:divBdr>
        <w:top w:val="none" w:sz="0" w:space="0" w:color="auto"/>
        <w:left w:val="none" w:sz="0" w:space="0" w:color="auto"/>
        <w:bottom w:val="none" w:sz="0" w:space="0" w:color="auto"/>
        <w:right w:val="none" w:sz="0" w:space="0" w:color="auto"/>
      </w:divBdr>
    </w:div>
    <w:div w:id="1210415009">
      <w:bodyDiv w:val="1"/>
      <w:marLeft w:val="0"/>
      <w:marRight w:val="0"/>
      <w:marTop w:val="0"/>
      <w:marBottom w:val="0"/>
      <w:divBdr>
        <w:top w:val="none" w:sz="0" w:space="0" w:color="auto"/>
        <w:left w:val="none" w:sz="0" w:space="0" w:color="auto"/>
        <w:bottom w:val="none" w:sz="0" w:space="0" w:color="auto"/>
        <w:right w:val="none" w:sz="0" w:space="0" w:color="auto"/>
      </w:divBdr>
    </w:div>
    <w:div w:id="1229146900">
      <w:bodyDiv w:val="1"/>
      <w:marLeft w:val="0"/>
      <w:marRight w:val="0"/>
      <w:marTop w:val="0"/>
      <w:marBottom w:val="0"/>
      <w:divBdr>
        <w:top w:val="none" w:sz="0" w:space="0" w:color="auto"/>
        <w:left w:val="none" w:sz="0" w:space="0" w:color="auto"/>
        <w:bottom w:val="none" w:sz="0" w:space="0" w:color="auto"/>
        <w:right w:val="none" w:sz="0" w:space="0" w:color="auto"/>
      </w:divBdr>
    </w:div>
    <w:div w:id="1245577806">
      <w:bodyDiv w:val="1"/>
      <w:marLeft w:val="0"/>
      <w:marRight w:val="0"/>
      <w:marTop w:val="0"/>
      <w:marBottom w:val="0"/>
      <w:divBdr>
        <w:top w:val="none" w:sz="0" w:space="0" w:color="auto"/>
        <w:left w:val="none" w:sz="0" w:space="0" w:color="auto"/>
        <w:bottom w:val="none" w:sz="0" w:space="0" w:color="auto"/>
        <w:right w:val="none" w:sz="0" w:space="0" w:color="auto"/>
      </w:divBdr>
    </w:div>
    <w:div w:id="1264924611">
      <w:bodyDiv w:val="1"/>
      <w:marLeft w:val="0"/>
      <w:marRight w:val="0"/>
      <w:marTop w:val="0"/>
      <w:marBottom w:val="0"/>
      <w:divBdr>
        <w:top w:val="none" w:sz="0" w:space="0" w:color="auto"/>
        <w:left w:val="none" w:sz="0" w:space="0" w:color="auto"/>
        <w:bottom w:val="none" w:sz="0" w:space="0" w:color="auto"/>
        <w:right w:val="none" w:sz="0" w:space="0" w:color="auto"/>
      </w:divBdr>
    </w:div>
    <w:div w:id="1481387264">
      <w:bodyDiv w:val="1"/>
      <w:marLeft w:val="0"/>
      <w:marRight w:val="0"/>
      <w:marTop w:val="0"/>
      <w:marBottom w:val="0"/>
      <w:divBdr>
        <w:top w:val="none" w:sz="0" w:space="0" w:color="auto"/>
        <w:left w:val="none" w:sz="0" w:space="0" w:color="auto"/>
        <w:bottom w:val="none" w:sz="0" w:space="0" w:color="auto"/>
        <w:right w:val="none" w:sz="0" w:space="0" w:color="auto"/>
      </w:divBdr>
    </w:div>
    <w:div w:id="1655791436">
      <w:bodyDiv w:val="1"/>
      <w:marLeft w:val="0"/>
      <w:marRight w:val="0"/>
      <w:marTop w:val="0"/>
      <w:marBottom w:val="0"/>
      <w:divBdr>
        <w:top w:val="none" w:sz="0" w:space="0" w:color="auto"/>
        <w:left w:val="none" w:sz="0" w:space="0" w:color="auto"/>
        <w:bottom w:val="none" w:sz="0" w:space="0" w:color="auto"/>
        <w:right w:val="none" w:sz="0" w:space="0" w:color="auto"/>
      </w:divBdr>
    </w:div>
    <w:div w:id="1682243711">
      <w:bodyDiv w:val="1"/>
      <w:marLeft w:val="0"/>
      <w:marRight w:val="0"/>
      <w:marTop w:val="0"/>
      <w:marBottom w:val="0"/>
      <w:divBdr>
        <w:top w:val="none" w:sz="0" w:space="0" w:color="auto"/>
        <w:left w:val="none" w:sz="0" w:space="0" w:color="auto"/>
        <w:bottom w:val="none" w:sz="0" w:space="0" w:color="auto"/>
        <w:right w:val="none" w:sz="0" w:space="0" w:color="auto"/>
      </w:divBdr>
    </w:div>
    <w:div w:id="1692606900">
      <w:bodyDiv w:val="1"/>
      <w:marLeft w:val="0"/>
      <w:marRight w:val="0"/>
      <w:marTop w:val="0"/>
      <w:marBottom w:val="0"/>
      <w:divBdr>
        <w:top w:val="none" w:sz="0" w:space="0" w:color="auto"/>
        <w:left w:val="none" w:sz="0" w:space="0" w:color="auto"/>
        <w:bottom w:val="none" w:sz="0" w:space="0" w:color="auto"/>
        <w:right w:val="none" w:sz="0" w:space="0" w:color="auto"/>
      </w:divBdr>
    </w:div>
    <w:div w:id="1696081533">
      <w:bodyDiv w:val="1"/>
      <w:marLeft w:val="0"/>
      <w:marRight w:val="0"/>
      <w:marTop w:val="0"/>
      <w:marBottom w:val="0"/>
      <w:divBdr>
        <w:top w:val="none" w:sz="0" w:space="0" w:color="auto"/>
        <w:left w:val="none" w:sz="0" w:space="0" w:color="auto"/>
        <w:bottom w:val="none" w:sz="0" w:space="0" w:color="auto"/>
        <w:right w:val="none" w:sz="0" w:space="0" w:color="auto"/>
      </w:divBdr>
    </w:div>
    <w:div w:id="1708021565">
      <w:bodyDiv w:val="1"/>
      <w:marLeft w:val="0"/>
      <w:marRight w:val="0"/>
      <w:marTop w:val="0"/>
      <w:marBottom w:val="0"/>
      <w:divBdr>
        <w:top w:val="none" w:sz="0" w:space="0" w:color="auto"/>
        <w:left w:val="none" w:sz="0" w:space="0" w:color="auto"/>
        <w:bottom w:val="none" w:sz="0" w:space="0" w:color="auto"/>
        <w:right w:val="none" w:sz="0" w:space="0" w:color="auto"/>
      </w:divBdr>
    </w:div>
    <w:div w:id="1708532207">
      <w:bodyDiv w:val="1"/>
      <w:marLeft w:val="0"/>
      <w:marRight w:val="0"/>
      <w:marTop w:val="0"/>
      <w:marBottom w:val="0"/>
      <w:divBdr>
        <w:top w:val="none" w:sz="0" w:space="0" w:color="auto"/>
        <w:left w:val="none" w:sz="0" w:space="0" w:color="auto"/>
        <w:bottom w:val="none" w:sz="0" w:space="0" w:color="auto"/>
        <w:right w:val="none" w:sz="0" w:space="0" w:color="auto"/>
      </w:divBdr>
    </w:div>
    <w:div w:id="1709599011">
      <w:bodyDiv w:val="1"/>
      <w:marLeft w:val="0"/>
      <w:marRight w:val="0"/>
      <w:marTop w:val="0"/>
      <w:marBottom w:val="0"/>
      <w:divBdr>
        <w:top w:val="none" w:sz="0" w:space="0" w:color="auto"/>
        <w:left w:val="none" w:sz="0" w:space="0" w:color="auto"/>
        <w:bottom w:val="none" w:sz="0" w:space="0" w:color="auto"/>
        <w:right w:val="none" w:sz="0" w:space="0" w:color="auto"/>
      </w:divBdr>
    </w:div>
    <w:div w:id="1720662278">
      <w:bodyDiv w:val="1"/>
      <w:marLeft w:val="0"/>
      <w:marRight w:val="0"/>
      <w:marTop w:val="0"/>
      <w:marBottom w:val="0"/>
      <w:divBdr>
        <w:top w:val="none" w:sz="0" w:space="0" w:color="auto"/>
        <w:left w:val="none" w:sz="0" w:space="0" w:color="auto"/>
        <w:bottom w:val="none" w:sz="0" w:space="0" w:color="auto"/>
        <w:right w:val="none" w:sz="0" w:space="0" w:color="auto"/>
      </w:divBdr>
    </w:div>
    <w:div w:id="1724982639">
      <w:bodyDiv w:val="1"/>
      <w:marLeft w:val="0"/>
      <w:marRight w:val="0"/>
      <w:marTop w:val="0"/>
      <w:marBottom w:val="0"/>
      <w:divBdr>
        <w:top w:val="none" w:sz="0" w:space="0" w:color="auto"/>
        <w:left w:val="none" w:sz="0" w:space="0" w:color="auto"/>
        <w:bottom w:val="none" w:sz="0" w:space="0" w:color="auto"/>
        <w:right w:val="none" w:sz="0" w:space="0" w:color="auto"/>
      </w:divBdr>
    </w:div>
    <w:div w:id="1732070166">
      <w:bodyDiv w:val="1"/>
      <w:marLeft w:val="0"/>
      <w:marRight w:val="0"/>
      <w:marTop w:val="0"/>
      <w:marBottom w:val="0"/>
      <w:divBdr>
        <w:top w:val="none" w:sz="0" w:space="0" w:color="auto"/>
        <w:left w:val="none" w:sz="0" w:space="0" w:color="auto"/>
        <w:bottom w:val="none" w:sz="0" w:space="0" w:color="auto"/>
        <w:right w:val="none" w:sz="0" w:space="0" w:color="auto"/>
      </w:divBdr>
    </w:div>
    <w:div w:id="1773670962">
      <w:bodyDiv w:val="1"/>
      <w:marLeft w:val="0"/>
      <w:marRight w:val="0"/>
      <w:marTop w:val="0"/>
      <w:marBottom w:val="0"/>
      <w:divBdr>
        <w:top w:val="none" w:sz="0" w:space="0" w:color="auto"/>
        <w:left w:val="none" w:sz="0" w:space="0" w:color="auto"/>
        <w:bottom w:val="none" w:sz="0" w:space="0" w:color="auto"/>
        <w:right w:val="none" w:sz="0" w:space="0" w:color="auto"/>
      </w:divBdr>
    </w:div>
    <w:div w:id="1866364740">
      <w:bodyDiv w:val="1"/>
      <w:marLeft w:val="0"/>
      <w:marRight w:val="0"/>
      <w:marTop w:val="0"/>
      <w:marBottom w:val="0"/>
      <w:divBdr>
        <w:top w:val="none" w:sz="0" w:space="0" w:color="auto"/>
        <w:left w:val="none" w:sz="0" w:space="0" w:color="auto"/>
        <w:bottom w:val="none" w:sz="0" w:space="0" w:color="auto"/>
        <w:right w:val="none" w:sz="0" w:space="0" w:color="auto"/>
      </w:divBdr>
    </w:div>
    <w:div w:id="1872300078">
      <w:bodyDiv w:val="1"/>
      <w:marLeft w:val="0"/>
      <w:marRight w:val="0"/>
      <w:marTop w:val="0"/>
      <w:marBottom w:val="0"/>
      <w:divBdr>
        <w:top w:val="none" w:sz="0" w:space="0" w:color="auto"/>
        <w:left w:val="none" w:sz="0" w:space="0" w:color="auto"/>
        <w:bottom w:val="none" w:sz="0" w:space="0" w:color="auto"/>
        <w:right w:val="none" w:sz="0" w:space="0" w:color="auto"/>
      </w:divBdr>
    </w:div>
    <w:div w:id="1890605145">
      <w:bodyDiv w:val="1"/>
      <w:marLeft w:val="0"/>
      <w:marRight w:val="0"/>
      <w:marTop w:val="0"/>
      <w:marBottom w:val="0"/>
      <w:divBdr>
        <w:top w:val="none" w:sz="0" w:space="0" w:color="auto"/>
        <w:left w:val="none" w:sz="0" w:space="0" w:color="auto"/>
        <w:bottom w:val="none" w:sz="0" w:space="0" w:color="auto"/>
        <w:right w:val="none" w:sz="0" w:space="0" w:color="auto"/>
      </w:divBdr>
    </w:div>
    <w:div w:id="1910380139">
      <w:bodyDiv w:val="1"/>
      <w:marLeft w:val="0"/>
      <w:marRight w:val="0"/>
      <w:marTop w:val="0"/>
      <w:marBottom w:val="0"/>
      <w:divBdr>
        <w:top w:val="none" w:sz="0" w:space="0" w:color="auto"/>
        <w:left w:val="none" w:sz="0" w:space="0" w:color="auto"/>
        <w:bottom w:val="none" w:sz="0" w:space="0" w:color="auto"/>
        <w:right w:val="none" w:sz="0" w:space="0" w:color="auto"/>
      </w:divBdr>
    </w:div>
    <w:div w:id="1916209421">
      <w:bodyDiv w:val="1"/>
      <w:marLeft w:val="0"/>
      <w:marRight w:val="0"/>
      <w:marTop w:val="0"/>
      <w:marBottom w:val="0"/>
      <w:divBdr>
        <w:top w:val="none" w:sz="0" w:space="0" w:color="auto"/>
        <w:left w:val="none" w:sz="0" w:space="0" w:color="auto"/>
        <w:bottom w:val="none" w:sz="0" w:space="0" w:color="auto"/>
        <w:right w:val="none" w:sz="0" w:space="0" w:color="auto"/>
      </w:divBdr>
    </w:div>
    <w:div w:id="1933975157">
      <w:bodyDiv w:val="1"/>
      <w:marLeft w:val="0"/>
      <w:marRight w:val="0"/>
      <w:marTop w:val="0"/>
      <w:marBottom w:val="0"/>
      <w:divBdr>
        <w:top w:val="none" w:sz="0" w:space="0" w:color="auto"/>
        <w:left w:val="none" w:sz="0" w:space="0" w:color="auto"/>
        <w:bottom w:val="none" w:sz="0" w:space="0" w:color="auto"/>
        <w:right w:val="none" w:sz="0" w:space="0" w:color="auto"/>
      </w:divBdr>
    </w:div>
    <w:div w:id="1972782269">
      <w:bodyDiv w:val="1"/>
      <w:marLeft w:val="0"/>
      <w:marRight w:val="0"/>
      <w:marTop w:val="0"/>
      <w:marBottom w:val="0"/>
      <w:divBdr>
        <w:top w:val="none" w:sz="0" w:space="0" w:color="auto"/>
        <w:left w:val="none" w:sz="0" w:space="0" w:color="auto"/>
        <w:bottom w:val="none" w:sz="0" w:space="0" w:color="auto"/>
        <w:right w:val="none" w:sz="0" w:space="0" w:color="auto"/>
      </w:divBdr>
    </w:div>
    <w:div w:id="2033408613">
      <w:bodyDiv w:val="1"/>
      <w:marLeft w:val="0"/>
      <w:marRight w:val="0"/>
      <w:marTop w:val="0"/>
      <w:marBottom w:val="0"/>
      <w:divBdr>
        <w:top w:val="none" w:sz="0" w:space="0" w:color="auto"/>
        <w:left w:val="none" w:sz="0" w:space="0" w:color="auto"/>
        <w:bottom w:val="none" w:sz="0" w:space="0" w:color="auto"/>
        <w:right w:val="none" w:sz="0" w:space="0" w:color="auto"/>
      </w:divBdr>
    </w:div>
    <w:div w:id="2041084066">
      <w:bodyDiv w:val="1"/>
      <w:marLeft w:val="0"/>
      <w:marRight w:val="0"/>
      <w:marTop w:val="0"/>
      <w:marBottom w:val="0"/>
      <w:divBdr>
        <w:top w:val="none" w:sz="0" w:space="0" w:color="auto"/>
        <w:left w:val="none" w:sz="0" w:space="0" w:color="auto"/>
        <w:bottom w:val="none" w:sz="0" w:space="0" w:color="auto"/>
        <w:right w:val="none" w:sz="0" w:space="0" w:color="auto"/>
      </w:divBdr>
    </w:div>
    <w:div w:id="2059545644">
      <w:bodyDiv w:val="1"/>
      <w:marLeft w:val="0"/>
      <w:marRight w:val="0"/>
      <w:marTop w:val="0"/>
      <w:marBottom w:val="0"/>
      <w:divBdr>
        <w:top w:val="none" w:sz="0" w:space="0" w:color="auto"/>
        <w:left w:val="none" w:sz="0" w:space="0" w:color="auto"/>
        <w:bottom w:val="none" w:sz="0" w:space="0" w:color="auto"/>
        <w:right w:val="none" w:sz="0" w:space="0" w:color="auto"/>
      </w:divBdr>
    </w:div>
    <w:div w:id="2084404334">
      <w:bodyDiv w:val="1"/>
      <w:marLeft w:val="0"/>
      <w:marRight w:val="0"/>
      <w:marTop w:val="0"/>
      <w:marBottom w:val="0"/>
      <w:divBdr>
        <w:top w:val="none" w:sz="0" w:space="0" w:color="auto"/>
        <w:left w:val="none" w:sz="0" w:space="0" w:color="auto"/>
        <w:bottom w:val="none" w:sz="0" w:space="0" w:color="auto"/>
        <w:right w:val="none" w:sz="0" w:space="0" w:color="auto"/>
      </w:divBdr>
    </w:div>
    <w:div w:id="2135365465">
      <w:bodyDiv w:val="1"/>
      <w:marLeft w:val="0"/>
      <w:marRight w:val="0"/>
      <w:marTop w:val="0"/>
      <w:marBottom w:val="0"/>
      <w:divBdr>
        <w:top w:val="none" w:sz="0" w:space="0" w:color="auto"/>
        <w:left w:val="none" w:sz="0" w:space="0" w:color="auto"/>
        <w:bottom w:val="none" w:sz="0" w:space="0" w:color="auto"/>
        <w:right w:val="none" w:sz="0" w:space="0" w:color="auto"/>
      </w:divBdr>
    </w:div>
    <w:div w:id="214711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header" Target="header3.xml"/><Relationship Id="rId21" Type="http://schemas.microsoft.com/office/2011/relationships/commentsExtended" Target="commentsExtended.xml"/><Relationship Id="rId34" Type="http://schemas.openxmlformats.org/officeDocument/2006/relationships/hyperlink" Target="http://www.housingcare.org" TargetMode="External"/><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comments" Target="comments.xml"/><Relationship Id="rId29" Type="http://schemas.openxmlformats.org/officeDocument/2006/relationships/chart" Target="charts/chart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hyperlink" Target="http://Home.co.uk" TargetMode="External"/><Relationship Id="rId37" Type="http://schemas.openxmlformats.org/officeDocument/2006/relationships/image" Target="media/image11.png"/><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18/08/relationships/commentsExtensible" Target="commentsExtensible.xml"/><Relationship Id="rId28" Type="http://schemas.openxmlformats.org/officeDocument/2006/relationships/chart" Target="charts/chart2.xml"/><Relationship Id="rId36" Type="http://schemas.openxmlformats.org/officeDocument/2006/relationships/hyperlink" Target="http://www.lifetimehomes.org.uk/"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microsoft.com/office/2016/09/relationships/commentsIds" Target="commentsIds.xml"/><Relationship Id="rId27" Type="http://schemas.openxmlformats.org/officeDocument/2006/relationships/chart" Target="charts/chart1.xm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hyperlink" Target="http://home.co.uk" TargetMode="External"/><Relationship Id="rId38" Type="http://schemas.openxmlformats.org/officeDocument/2006/relationships/image" Target="media/image12.svg"/></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media/675abd214cbda57cacd3476e/NPPF-December-2024.pdf" TargetMode="External"/><Relationship Id="rId13" Type="http://schemas.openxmlformats.org/officeDocument/2006/relationships/hyperlink" Target="http://www.ipsos-mori-generations.com/housing.html" TargetMode="External"/><Relationship Id="rId18" Type="http://schemas.openxmlformats.org/officeDocument/2006/relationships/hyperlink" Target="http://www.housingcare.org/jargon-sheltered-housing.aspx" TargetMode="External"/><Relationship Id="rId3" Type="http://schemas.openxmlformats.org/officeDocument/2006/relationships/hyperlink" Target="https://www.durham.gov.uk/media/45772/County-Durham-Strategic-Housing-Market-Assessment/pdf/CountyDurhamStrategicHousingMarketAssessment.pdf?m=1732023576087" TargetMode="External"/><Relationship Id="rId7" Type="http://schemas.openxmlformats.org/officeDocument/2006/relationships/hyperlink" Target="https://questions-statements.parliament.uk/written-statements/detail/2021-05-24/hlws48" TargetMode="External"/><Relationship Id="rId12" Type="http://schemas.openxmlformats.org/officeDocument/2006/relationships/hyperlink" Target="https://urbanistarchitecture.co.uk/cost-to-build-a-house-uk/" TargetMode="External"/><Relationship Id="rId17" Type="http://schemas.openxmlformats.org/officeDocument/2006/relationships/hyperlink" Target="https://www.which.co.uk/news/2017/08/how-your-income-affects-your-mortgage-chances/" TargetMode="External"/><Relationship Id="rId2" Type="http://schemas.openxmlformats.org/officeDocument/2006/relationships/hyperlink" Target="https://www.gov.uk/guidance/housing-and-economic-development-needs-assessments" TargetMode="External"/><Relationship Id="rId16" Type="http://schemas.openxmlformats.org/officeDocument/2006/relationships/hyperlink" Target="http://webarchive.nationalarchives.gov.uk/20160107160832/http://www.ons.gov.uk/ons/dcp171776_350282.pdf" TargetMode="External"/><Relationship Id="rId1" Type="http://schemas.openxmlformats.org/officeDocument/2006/relationships/hyperlink" Target="https://assets.publishing.service.gov.uk/media/675abd214cbda57cacd3476e/NPPF-December-2024.pdf" TargetMode="External"/><Relationship Id="rId6" Type="http://schemas.openxmlformats.org/officeDocument/2006/relationships/hyperlink" Target="https://www.gov.uk/guidance/first-homes" TargetMode="External"/><Relationship Id="rId11" Type="http://schemas.openxmlformats.org/officeDocument/2006/relationships/hyperlink" Target="https://www.gov.uk/government/consultations/raising-accessibility-standards-for-new-homes/outcome/raising-accessibility-standards-for-new-homes-summary-of-consultation-responses-and-government-response" TargetMode="External"/><Relationship Id="rId5" Type="http://schemas.openxmlformats.org/officeDocument/2006/relationships/hyperlink" Target="https://questions-statements.parliament.uk/written-statements/detail/2021-05-24/hlws48" TargetMode="External"/><Relationship Id="rId15" Type="http://schemas.openxmlformats.org/officeDocument/2006/relationships/hyperlink" Target="https://www.gov.uk/government/statistics/english-housing-survey-2011-to-2012-household-report" TargetMode="External"/><Relationship Id="rId10" Type="http://schemas.openxmlformats.org/officeDocument/2006/relationships/hyperlink" Target="http://www.housingcare.org/jargon-sheltered-housing.aspx" TargetMode="External"/><Relationship Id="rId19" Type="http://schemas.openxmlformats.org/officeDocument/2006/relationships/hyperlink" Target="http://www.communities.gov.uk/documents/planningandbuilding/doc/1980960.doc" TargetMode="External"/><Relationship Id="rId4" Type="http://schemas.openxmlformats.org/officeDocument/2006/relationships/hyperlink" Target="https://www.gov.uk/guidance/neighbourhood-planning--2" TargetMode="External"/><Relationship Id="rId9" Type="http://schemas.openxmlformats.org/officeDocument/2006/relationships/hyperlink" Target="https://www.planningportal.co.uk/info/200130/common_projects/9/change_of_use" TargetMode="External"/><Relationship Id="rId14" Type="http://schemas.openxmlformats.org/officeDocument/2006/relationships/hyperlink" Target="http://www.communities.gov.uk/documents/planningandbuilding/pdf/191843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parr\AppData\Roaming\Microsoft\Templates\AECOM_Repor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aecom-my.sharepoint.com/personal/matthew_kearney_aecom_com/Documents/Documents/Census%20Tool%20Updates%20-%20Oct2024/Census%20Model%20v4.1%20-%20Conset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ecom-my.sharepoint.com/personal/matthew_kearney_aecom_com/Documents/Documents/Consett/1%20-%20HNA%20Tools%20and%20Files/C%20-%20Data/Tool/Consett%20-%20AECOM%20HNA%20Tool%20v06.09.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'[Consett - AECOM HNA Tool v06.09.xlsx]OUTPUT 1 - Tenure'!$B$30</c:f>
              <c:strCache>
                <c:ptCount val="1"/>
                <c:pt idx="0">
                  <c:v>Mean</c:v>
                </c:pt>
              </c:strCache>
            </c:strRef>
          </c:tx>
          <c:spPr>
            <a:ln w="28575" cap="rnd">
              <a:solidFill>
                <a:schemeClr val="accent1"/>
              </a:solidFill>
              <a:round/>
            </a:ln>
            <a:effectLst/>
          </c:spPr>
          <c:marker>
            <c:symbol val="none"/>
          </c:marker>
          <c:cat>
            <c:numRef>
              <c:f>'[Consett - AECOM HNA Tool v06.09.xlsx]OUTPUT 1 - Tenure'!$C$29:$L$29</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'[Consett - AECOM HNA Tool v06.09.xlsx]OUTPUT 1 - Tenure'!$C$30:$L$30</c:f>
              <c:numCache>
                <c:formatCode>"£"#,##0</c:formatCode>
                <c:ptCount val="10"/>
                <c:pt idx="0">
                  <c:v>135876.97929606625</c:v>
                </c:pt>
                <c:pt idx="1">
                  <c:v>127899.90503875969</c:v>
                </c:pt>
                <c:pt idx="2">
                  <c:v>122987.8172231986</c:v>
                </c:pt>
                <c:pt idx="3">
                  <c:v>133224.55373134327</c:v>
                </c:pt>
                <c:pt idx="4">
                  <c:v>132635.95531587058</c:v>
                </c:pt>
                <c:pt idx="5">
                  <c:v>131544.95865237367</c:v>
                </c:pt>
                <c:pt idx="6">
                  <c:v>159848.7528957529</c:v>
                </c:pt>
                <c:pt idx="7">
                  <c:v>152529.18273381295</c:v>
                </c:pt>
                <c:pt idx="8">
                  <c:v>144796.84131736527</c:v>
                </c:pt>
                <c:pt idx="9">
                  <c:v>155461.83772819472</c:v>
                </c:pt>
              </c:numCache>
            </c:numRef>
          </c:val>
          <c:smooth val="0"/>
          <c:extLst>
            <c:ext xmlns:c16="http://schemas.microsoft.com/office/drawing/2014/chart" uri="{C3380CC4-5D6E-409C-BE32-E72D297353CC}">
              <c16:uniqueId val="{00000000-9960-477D-886D-C119FCD67A9D}"/>
            </c:ext>
          </c:extLst>
        </c:ser>
        <c:ser>
          <c:idx val="1"/>
          <c:order val="1"/>
          <c:tx>
            <c:strRef>
              <c:f>'[Consett - AECOM HNA Tool v06.09.xlsx]OUTPUT 1 - Tenure'!$B$31</c:f>
              <c:strCache>
                <c:ptCount val="1"/>
                <c:pt idx="0">
                  <c:v>Median</c:v>
                </c:pt>
              </c:strCache>
            </c:strRef>
          </c:tx>
          <c:spPr>
            <a:ln w="28575" cap="rnd">
              <a:solidFill>
                <a:schemeClr val="accent2"/>
              </a:solidFill>
              <a:round/>
            </a:ln>
            <a:effectLst/>
          </c:spPr>
          <c:marker>
            <c:symbol val="none"/>
          </c:marker>
          <c:cat>
            <c:numRef>
              <c:f>'[Consett - AECOM HNA Tool v06.09.xlsx]OUTPUT 1 - Tenure'!$C$29:$L$29</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'[Consett - AECOM HNA Tool v06.09.xlsx]OUTPUT 1 - Tenure'!$C$31:$L$31</c:f>
              <c:numCache>
                <c:formatCode>"£"#,##0</c:formatCode>
                <c:ptCount val="10"/>
                <c:pt idx="0">
                  <c:v>105000</c:v>
                </c:pt>
                <c:pt idx="1">
                  <c:v>109995</c:v>
                </c:pt>
                <c:pt idx="2">
                  <c:v>104950</c:v>
                </c:pt>
                <c:pt idx="3">
                  <c:v>114975</c:v>
                </c:pt>
                <c:pt idx="4">
                  <c:v>110000</c:v>
                </c:pt>
                <c:pt idx="5">
                  <c:v>108500</c:v>
                </c:pt>
                <c:pt idx="6">
                  <c:v>110000</c:v>
                </c:pt>
                <c:pt idx="7">
                  <c:v>125000</c:v>
                </c:pt>
                <c:pt idx="8">
                  <c:v>120000</c:v>
                </c:pt>
                <c:pt idx="9">
                  <c:v>128000</c:v>
                </c:pt>
              </c:numCache>
            </c:numRef>
          </c:val>
          <c:smooth val="0"/>
          <c:extLst>
            <c:ext xmlns:c16="http://schemas.microsoft.com/office/drawing/2014/chart" uri="{C3380CC4-5D6E-409C-BE32-E72D297353CC}">
              <c16:uniqueId val="{00000001-9960-477D-886D-C119FCD67A9D}"/>
            </c:ext>
          </c:extLst>
        </c:ser>
        <c:ser>
          <c:idx val="2"/>
          <c:order val="2"/>
          <c:tx>
            <c:strRef>
              <c:f>'[Consett - AECOM HNA Tool v06.09.xlsx]OUTPUT 1 - Tenure'!$B$32</c:f>
              <c:strCache>
                <c:ptCount val="1"/>
                <c:pt idx="0">
                  <c:v>Lower quartile</c:v>
                </c:pt>
              </c:strCache>
            </c:strRef>
          </c:tx>
          <c:spPr>
            <a:ln w="28575" cap="rnd">
              <a:solidFill>
                <a:schemeClr val="accent3"/>
              </a:solidFill>
              <a:round/>
            </a:ln>
            <a:effectLst/>
          </c:spPr>
          <c:marker>
            <c:symbol val="none"/>
          </c:marker>
          <c:cat>
            <c:numRef>
              <c:f>'[Consett - AECOM HNA Tool v06.09.xlsx]OUTPUT 1 - Tenure'!$C$29:$L$29</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'[Consett - AECOM HNA Tool v06.09.xlsx]OUTPUT 1 - Tenure'!$C$32:$L$32</c:f>
              <c:numCache>
                <c:formatCode>"£"#,##0</c:formatCode>
                <c:ptCount val="10"/>
                <c:pt idx="0">
                  <c:v>75000</c:v>
                </c:pt>
                <c:pt idx="1">
                  <c:v>73500</c:v>
                </c:pt>
                <c:pt idx="2">
                  <c:v>71000</c:v>
                </c:pt>
                <c:pt idx="3">
                  <c:v>75000</c:v>
                </c:pt>
                <c:pt idx="4">
                  <c:v>70000</c:v>
                </c:pt>
                <c:pt idx="5">
                  <c:v>73000</c:v>
                </c:pt>
                <c:pt idx="6">
                  <c:v>77000</c:v>
                </c:pt>
                <c:pt idx="7">
                  <c:v>82250</c:v>
                </c:pt>
                <c:pt idx="8">
                  <c:v>80000</c:v>
                </c:pt>
                <c:pt idx="9">
                  <c:v>84000</c:v>
                </c:pt>
              </c:numCache>
            </c:numRef>
          </c:val>
          <c:smooth val="0"/>
          <c:extLst>
            <c:ext xmlns:c16="http://schemas.microsoft.com/office/drawing/2014/chart" uri="{C3380CC4-5D6E-409C-BE32-E72D297353CC}">
              <c16:uniqueId val="{00000002-9960-477D-886D-C119FCD67A9D}"/>
            </c:ext>
          </c:extLst>
        </c:ser>
        <c:dLbls>
          <c:showLegendKey val="0"/>
          <c:showVal val="0"/>
          <c:showCatName val="0"/>
          <c:showSerName val="0"/>
          <c:showPercent val="0"/>
          <c:showBubbleSize val="0"/>
        </c:dLbls>
        <c:smooth val="0"/>
        <c:axId val="740855816"/>
        <c:axId val="740856800"/>
      </c:lineChart>
      <c:catAx>
        <c:axId val="740855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856800"/>
        <c:crosses val="autoZero"/>
        <c:auto val="1"/>
        <c:lblAlgn val="ctr"/>
        <c:lblOffset val="100"/>
        <c:noMultiLvlLbl val="0"/>
      </c:catAx>
      <c:valAx>
        <c:axId val="74085680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855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61597034098549"/>
          <c:y val="7.6923076923076927E-2"/>
          <c:w val="0.82619045400390045"/>
          <c:h val="0.65693408953251475"/>
        </c:manualLayout>
      </c:layout>
      <c:barChart>
        <c:barDir val="col"/>
        <c:grouping val="clustered"/>
        <c:varyColors val="0"/>
        <c:ser>
          <c:idx val="0"/>
          <c:order val="0"/>
          <c:tx>
            <c:strRef>
              <c:f>'Output - Template (NOMIS)'!$J$70</c:f>
              <c:strCache>
                <c:ptCount val="1"/>
                <c:pt idx="0">
                  <c:v>Consett</c:v>
                </c:pt>
              </c:strCache>
            </c:strRef>
          </c:tx>
          <c:spPr>
            <a:solidFill>
              <a:schemeClr val="accent1"/>
            </a:solidFill>
            <a:ln>
              <a:noFill/>
            </a:ln>
            <a:effectLst/>
          </c:spPr>
          <c:invertIfNegative val="0"/>
          <c:cat>
            <c:strRef>
              <c:f>'[1]Output (NOMIS)'!$B$44:$B$49</c:f>
              <c:strCache>
                <c:ptCount val="6"/>
                <c:pt idx="0">
                  <c:v>0-14</c:v>
                </c:pt>
                <c:pt idx="1">
                  <c:v>15-24</c:v>
                </c:pt>
                <c:pt idx="2">
                  <c:v>25-44</c:v>
                </c:pt>
                <c:pt idx="3">
                  <c:v>45-64</c:v>
                </c:pt>
                <c:pt idx="4">
                  <c:v>65-84</c:v>
                </c:pt>
                <c:pt idx="5">
                  <c:v>85 and over</c:v>
                </c:pt>
              </c:strCache>
            </c:strRef>
          </c:cat>
          <c:val>
            <c:numRef>
              <c:f>'Output - Template (NOMIS)'!$J$57:$J$62</c:f>
              <c:numCache>
                <c:formatCode>0.0%</c:formatCode>
                <c:ptCount val="6"/>
                <c:pt idx="0">
                  <c:v>0.17048669695003243</c:v>
                </c:pt>
                <c:pt idx="1">
                  <c:v>9.8637248539909156E-2</c:v>
                </c:pt>
                <c:pt idx="2">
                  <c:v>0.24664503569110968</c:v>
                </c:pt>
                <c:pt idx="3">
                  <c:v>0.28215444516547694</c:v>
                </c:pt>
                <c:pt idx="4">
                  <c:v>0.17739130434782607</c:v>
                </c:pt>
                <c:pt idx="5">
                  <c:v>2.4685269305645685E-2</c:v>
                </c:pt>
              </c:numCache>
            </c:numRef>
          </c:val>
          <c:extLst>
            <c:ext xmlns:c16="http://schemas.microsoft.com/office/drawing/2014/chart" uri="{C3380CC4-5D6E-409C-BE32-E72D297353CC}">
              <c16:uniqueId val="{00000000-1ED2-498D-A7D3-F487DE4CCC8E}"/>
            </c:ext>
          </c:extLst>
        </c:ser>
        <c:ser>
          <c:idx val="1"/>
          <c:order val="1"/>
          <c:tx>
            <c:strRef>
              <c:f>'Output - Template (NOMIS)'!$J$71</c:f>
              <c:strCache>
                <c:ptCount val="1"/>
                <c:pt idx="0">
                  <c:v>County Durham</c:v>
                </c:pt>
              </c:strCache>
            </c:strRef>
          </c:tx>
          <c:spPr>
            <a:solidFill>
              <a:schemeClr val="accent2"/>
            </a:solidFill>
            <a:ln>
              <a:noFill/>
            </a:ln>
            <a:effectLst/>
          </c:spPr>
          <c:invertIfNegative val="0"/>
          <c:cat>
            <c:strRef>
              <c:f>'[1]Output (NOMIS)'!$B$44:$B$49</c:f>
              <c:strCache>
                <c:ptCount val="6"/>
                <c:pt idx="0">
                  <c:v>0-14</c:v>
                </c:pt>
                <c:pt idx="1">
                  <c:v>15-24</c:v>
                </c:pt>
                <c:pt idx="2">
                  <c:v>25-44</c:v>
                </c:pt>
                <c:pt idx="3">
                  <c:v>45-64</c:v>
                </c:pt>
                <c:pt idx="4">
                  <c:v>65-84</c:v>
                </c:pt>
                <c:pt idx="5">
                  <c:v>85 and over</c:v>
                </c:pt>
              </c:strCache>
            </c:strRef>
          </c:cat>
          <c:val>
            <c:numRef>
              <c:f>'Output - Template (NOMIS)'!$K$57:$K$62</c:f>
              <c:numCache>
                <c:formatCode>0.0%</c:formatCode>
                <c:ptCount val="6"/>
                <c:pt idx="0">
                  <c:v>0.15823518257095298</c:v>
                </c:pt>
                <c:pt idx="1">
                  <c:v>0.12313459280442698</c:v>
                </c:pt>
                <c:pt idx="2">
                  <c:v>0.22926000486523865</c:v>
                </c:pt>
                <c:pt idx="3">
                  <c:v>0.2761080389448945</c:v>
                </c:pt>
                <c:pt idx="4">
                  <c:v>0.18875785094364558</c:v>
                </c:pt>
                <c:pt idx="5">
                  <c:v>2.4504329870841321E-2</c:v>
                </c:pt>
              </c:numCache>
            </c:numRef>
          </c:val>
          <c:extLst>
            <c:ext xmlns:c16="http://schemas.microsoft.com/office/drawing/2014/chart" uri="{C3380CC4-5D6E-409C-BE32-E72D297353CC}">
              <c16:uniqueId val="{00000001-1ED2-498D-A7D3-F487DE4CCC8E}"/>
            </c:ext>
          </c:extLst>
        </c:ser>
        <c:ser>
          <c:idx val="2"/>
          <c:order val="2"/>
          <c:tx>
            <c:strRef>
              <c:f>'Output - Template (NOMIS)'!$L$55</c:f>
              <c:strCache>
                <c:ptCount val="1"/>
                <c:pt idx="0">
                  <c:v>England</c:v>
                </c:pt>
              </c:strCache>
            </c:strRef>
          </c:tx>
          <c:spPr>
            <a:solidFill>
              <a:schemeClr val="accent3"/>
            </a:solidFill>
            <a:ln>
              <a:noFill/>
            </a:ln>
            <a:effectLst/>
          </c:spPr>
          <c:invertIfNegative val="0"/>
          <c:cat>
            <c:strRef>
              <c:f>'[1]Output (NOMIS)'!$B$44:$B$49</c:f>
              <c:strCache>
                <c:ptCount val="6"/>
                <c:pt idx="0">
                  <c:v>0-14</c:v>
                </c:pt>
                <c:pt idx="1">
                  <c:v>15-24</c:v>
                </c:pt>
                <c:pt idx="2">
                  <c:v>25-44</c:v>
                </c:pt>
                <c:pt idx="3">
                  <c:v>45-64</c:v>
                </c:pt>
                <c:pt idx="4">
                  <c:v>65-84</c:v>
                </c:pt>
                <c:pt idx="5">
                  <c:v>85 and over</c:v>
                </c:pt>
              </c:strCache>
            </c:strRef>
          </c:cat>
          <c:val>
            <c:numRef>
              <c:f>'Output - Template (NOMIS)'!$L$57:$L$62</c:f>
              <c:numCache>
                <c:formatCode>0.0%</c:formatCode>
                <c:ptCount val="6"/>
                <c:pt idx="0">
                  <c:v>0.174171864750407</c:v>
                </c:pt>
                <c:pt idx="1">
                  <c:v>0.11742501971320683</c:v>
                </c:pt>
                <c:pt idx="2">
                  <c:v>0.26630635895370458</c:v>
                </c:pt>
                <c:pt idx="3">
                  <c:v>0.25797046587745864</c:v>
                </c:pt>
                <c:pt idx="4">
                  <c:v>0.15983349845976411</c:v>
                </c:pt>
                <c:pt idx="5">
                  <c:v>2.4292792245458883E-2</c:v>
                </c:pt>
              </c:numCache>
            </c:numRef>
          </c:val>
          <c:extLst>
            <c:ext xmlns:c16="http://schemas.microsoft.com/office/drawing/2014/chart" uri="{C3380CC4-5D6E-409C-BE32-E72D297353CC}">
              <c16:uniqueId val="{00000002-1ED2-498D-A7D3-F487DE4CCC8E}"/>
            </c:ext>
          </c:extLst>
        </c:ser>
        <c:dLbls>
          <c:showLegendKey val="0"/>
          <c:showVal val="0"/>
          <c:showCatName val="0"/>
          <c:showSerName val="0"/>
          <c:showPercent val="0"/>
          <c:showBubbleSize val="0"/>
        </c:dLbls>
        <c:gapWidth val="219"/>
        <c:overlap val="-27"/>
        <c:axId val="311124744"/>
        <c:axId val="311117856"/>
      </c:barChart>
      <c:catAx>
        <c:axId val="311124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117856"/>
        <c:crosses val="autoZero"/>
        <c:auto val="1"/>
        <c:lblAlgn val="ctr"/>
        <c:lblOffset val="100"/>
        <c:noMultiLvlLbl val="0"/>
      </c:catAx>
      <c:valAx>
        <c:axId val="311117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of 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124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'[Consett - AECOM HNA Tool v06.09.xlsx]OUTPUT 3 - Type &amp; Size'!$B$233</c:f>
              <c:strCache>
                <c:ptCount val="1"/>
                <c:pt idx="0">
                  <c:v>1 bedroom</c:v>
                </c:pt>
              </c:strCache>
            </c:strRef>
          </c:tx>
          <c:spPr>
            <a:solidFill>
              <a:schemeClr val="accent1"/>
            </a:solidFill>
            <a:ln>
              <a:noFill/>
            </a:ln>
            <a:effectLst/>
          </c:spPr>
          <c:invertIfNegative val="0"/>
          <c:cat>
            <c:strRef>
              <c:f>'[Consett - AECOM HNA Tool v06.09.xlsx]OUTPUT 3 - Type &amp; Size'!$C$232:$P$232</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'[Consett - AECOM HNA Tool v06.09.xlsx]OUTPUT 3 - Type &amp; Size'!$C$233:$P$233</c:f>
              <c:numCache>
                <c:formatCode>#,##0</c:formatCode>
                <c:ptCount val="14"/>
                <c:pt idx="0">
                  <c:v>548</c:v>
                </c:pt>
                <c:pt idx="1">
                  <c:v>720</c:v>
                </c:pt>
                <c:pt idx="2">
                  <c:v>519</c:v>
                </c:pt>
                <c:pt idx="3">
                  <c:v>494</c:v>
                </c:pt>
                <c:pt idx="4">
                  <c:v>653</c:v>
                </c:pt>
                <c:pt idx="5">
                  <c:v>877</c:v>
                </c:pt>
                <c:pt idx="6">
                  <c:v>921</c:v>
                </c:pt>
                <c:pt idx="7">
                  <c:v>1072</c:v>
                </c:pt>
                <c:pt idx="8">
                  <c:v>1358</c:v>
                </c:pt>
                <c:pt idx="9">
                  <c:v>1279</c:v>
                </c:pt>
                <c:pt idx="10">
                  <c:v>1513</c:v>
                </c:pt>
                <c:pt idx="11">
                  <c:v>1395</c:v>
                </c:pt>
                <c:pt idx="12">
                  <c:v>1352</c:v>
                </c:pt>
                <c:pt idx="13">
                  <c:v>1520</c:v>
                </c:pt>
              </c:numCache>
            </c:numRef>
          </c:val>
          <c:extLst>
            <c:ext xmlns:c16="http://schemas.microsoft.com/office/drawing/2014/chart" uri="{C3380CC4-5D6E-409C-BE32-E72D297353CC}">
              <c16:uniqueId val="{00000000-0468-4F61-A254-05C7448C678F}"/>
            </c:ext>
          </c:extLst>
        </c:ser>
        <c:ser>
          <c:idx val="1"/>
          <c:order val="1"/>
          <c:tx>
            <c:strRef>
              <c:f>'[Consett - AECOM HNA Tool v06.09.xlsx]OUTPUT 3 - Type &amp; Size'!$B$234</c:f>
              <c:strCache>
                <c:ptCount val="1"/>
                <c:pt idx="0">
                  <c:v>2 bedrooms</c:v>
                </c:pt>
              </c:strCache>
            </c:strRef>
          </c:tx>
          <c:spPr>
            <a:solidFill>
              <a:schemeClr val="accent2"/>
            </a:solidFill>
            <a:ln>
              <a:noFill/>
            </a:ln>
            <a:effectLst/>
          </c:spPr>
          <c:invertIfNegative val="0"/>
          <c:cat>
            <c:strRef>
              <c:f>'[Consett - AECOM HNA Tool v06.09.xlsx]OUTPUT 3 - Type &amp; Size'!$C$232:$P$232</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'[Consett - AECOM HNA Tool v06.09.xlsx]OUTPUT 3 - Type &amp; Size'!$C$234:$P$234</c:f>
              <c:numCache>
                <c:formatCode>#,##0</c:formatCode>
                <c:ptCount val="14"/>
                <c:pt idx="0">
                  <c:v>4314</c:v>
                </c:pt>
                <c:pt idx="1">
                  <c:v>6246</c:v>
                </c:pt>
                <c:pt idx="2">
                  <c:v>5383</c:v>
                </c:pt>
                <c:pt idx="3">
                  <c:v>4711</c:v>
                </c:pt>
                <c:pt idx="4">
                  <c:v>5449</c:v>
                </c:pt>
                <c:pt idx="5">
                  <c:v>6160</c:v>
                </c:pt>
                <c:pt idx="6">
                  <c:v>5815</c:v>
                </c:pt>
                <c:pt idx="7">
                  <c:v>5773</c:v>
                </c:pt>
                <c:pt idx="8">
                  <c:v>6579</c:v>
                </c:pt>
                <c:pt idx="9">
                  <c:v>5854</c:v>
                </c:pt>
                <c:pt idx="10">
                  <c:v>5821</c:v>
                </c:pt>
                <c:pt idx="11">
                  <c:v>5458</c:v>
                </c:pt>
                <c:pt idx="12">
                  <c:v>4462</c:v>
                </c:pt>
                <c:pt idx="13">
                  <c:v>3797</c:v>
                </c:pt>
              </c:numCache>
            </c:numRef>
          </c:val>
          <c:extLst>
            <c:ext xmlns:c16="http://schemas.microsoft.com/office/drawing/2014/chart" uri="{C3380CC4-5D6E-409C-BE32-E72D297353CC}">
              <c16:uniqueId val="{00000001-0468-4F61-A254-05C7448C678F}"/>
            </c:ext>
          </c:extLst>
        </c:ser>
        <c:ser>
          <c:idx val="2"/>
          <c:order val="2"/>
          <c:tx>
            <c:strRef>
              <c:f>'[Consett - AECOM HNA Tool v06.09.xlsx]OUTPUT 3 - Type &amp; Size'!$B$235</c:f>
              <c:strCache>
                <c:ptCount val="1"/>
                <c:pt idx="0">
                  <c:v>3 bedrooms</c:v>
                </c:pt>
              </c:strCache>
            </c:strRef>
          </c:tx>
          <c:spPr>
            <a:solidFill>
              <a:schemeClr val="accent3"/>
            </a:solidFill>
            <a:ln>
              <a:noFill/>
            </a:ln>
            <a:effectLst/>
          </c:spPr>
          <c:invertIfNegative val="0"/>
          <c:cat>
            <c:strRef>
              <c:f>'[Consett - AECOM HNA Tool v06.09.xlsx]OUTPUT 3 - Type &amp; Size'!$C$232:$P$232</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'[Consett - AECOM HNA Tool v06.09.xlsx]OUTPUT 3 - Type &amp; Size'!$C$235:$P$235</c:f>
              <c:numCache>
                <c:formatCode>#,##0</c:formatCode>
                <c:ptCount val="14"/>
                <c:pt idx="0">
                  <c:v>2519</c:v>
                </c:pt>
                <c:pt idx="1">
                  <c:v>5477</c:v>
                </c:pt>
                <c:pt idx="2">
                  <c:v>7042</c:v>
                </c:pt>
                <c:pt idx="3">
                  <c:v>8418</c:v>
                </c:pt>
                <c:pt idx="4">
                  <c:v>10805</c:v>
                </c:pt>
                <c:pt idx="5">
                  <c:v>11579</c:v>
                </c:pt>
                <c:pt idx="6">
                  <c:v>10398</c:v>
                </c:pt>
                <c:pt idx="7">
                  <c:v>9581</c:v>
                </c:pt>
                <c:pt idx="8">
                  <c:v>9352</c:v>
                </c:pt>
                <c:pt idx="9">
                  <c:v>7345</c:v>
                </c:pt>
                <c:pt idx="10">
                  <c:v>6450</c:v>
                </c:pt>
                <c:pt idx="11">
                  <c:v>5110</c:v>
                </c:pt>
                <c:pt idx="12">
                  <c:v>3548</c:v>
                </c:pt>
                <c:pt idx="13">
                  <c:v>2315</c:v>
                </c:pt>
              </c:numCache>
            </c:numRef>
          </c:val>
          <c:extLst>
            <c:ext xmlns:c16="http://schemas.microsoft.com/office/drawing/2014/chart" uri="{C3380CC4-5D6E-409C-BE32-E72D297353CC}">
              <c16:uniqueId val="{00000002-0468-4F61-A254-05C7448C678F}"/>
            </c:ext>
          </c:extLst>
        </c:ser>
        <c:ser>
          <c:idx val="3"/>
          <c:order val="3"/>
          <c:tx>
            <c:strRef>
              <c:f>'[Consett - AECOM HNA Tool v06.09.xlsx]OUTPUT 3 - Type &amp; Size'!$B$236</c:f>
              <c:strCache>
                <c:ptCount val="1"/>
                <c:pt idx="0">
                  <c:v>4 bedrooms</c:v>
                </c:pt>
              </c:strCache>
            </c:strRef>
          </c:tx>
          <c:spPr>
            <a:solidFill>
              <a:schemeClr val="accent4"/>
            </a:solidFill>
            <a:ln>
              <a:noFill/>
            </a:ln>
            <a:effectLst/>
          </c:spPr>
          <c:invertIfNegative val="0"/>
          <c:cat>
            <c:strRef>
              <c:f>'[Consett - AECOM HNA Tool v06.09.xlsx]OUTPUT 3 - Type &amp; Size'!$C$232:$P$232</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'[Consett - AECOM HNA Tool v06.09.xlsx]OUTPUT 3 - Type &amp; Size'!$C$236:$P$236</c:f>
              <c:numCache>
                <c:formatCode>#,##0</c:formatCode>
                <c:ptCount val="14"/>
                <c:pt idx="0">
                  <c:v>561</c:v>
                </c:pt>
                <c:pt idx="1">
                  <c:v>624</c:v>
                </c:pt>
                <c:pt idx="2">
                  <c:v>1430</c:v>
                </c:pt>
                <c:pt idx="3">
                  <c:v>2578</c:v>
                </c:pt>
                <c:pt idx="4">
                  <c:v>3874</c:v>
                </c:pt>
                <c:pt idx="5">
                  <c:v>4428</c:v>
                </c:pt>
                <c:pt idx="6">
                  <c:v>3824</c:v>
                </c:pt>
                <c:pt idx="7">
                  <c:v>3078</c:v>
                </c:pt>
                <c:pt idx="8">
                  <c:v>2584</c:v>
                </c:pt>
                <c:pt idx="9">
                  <c:v>1697</c:v>
                </c:pt>
                <c:pt idx="10">
                  <c:v>1105</c:v>
                </c:pt>
                <c:pt idx="11">
                  <c:v>792</c:v>
                </c:pt>
                <c:pt idx="12">
                  <c:v>482</c:v>
                </c:pt>
                <c:pt idx="13">
                  <c:v>238</c:v>
                </c:pt>
              </c:numCache>
            </c:numRef>
          </c:val>
          <c:extLst>
            <c:ext xmlns:c16="http://schemas.microsoft.com/office/drawing/2014/chart" uri="{C3380CC4-5D6E-409C-BE32-E72D297353CC}">
              <c16:uniqueId val="{00000003-0468-4F61-A254-05C7448C678F}"/>
            </c:ext>
          </c:extLst>
        </c:ser>
        <c:ser>
          <c:idx val="4"/>
          <c:order val="4"/>
          <c:tx>
            <c:strRef>
              <c:f>'[Consett - AECOM HNA Tool v06.09.xlsx]OUTPUT 3 - Type &amp; Size'!$B$237</c:f>
              <c:strCache>
                <c:ptCount val="1"/>
                <c:pt idx="0">
                  <c:v>5 bedrooms</c:v>
                </c:pt>
              </c:strCache>
            </c:strRef>
          </c:tx>
          <c:spPr>
            <a:solidFill>
              <a:schemeClr val="accent5"/>
            </a:solidFill>
            <a:ln>
              <a:noFill/>
            </a:ln>
            <a:effectLst/>
          </c:spPr>
          <c:invertIfNegative val="0"/>
          <c:cat>
            <c:strRef>
              <c:f>'[Consett - AECOM HNA Tool v06.09.xlsx]OUTPUT 3 - Type &amp; Size'!$C$232:$P$232</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'[Consett - AECOM HNA Tool v06.09.xlsx]OUTPUT 3 - Type &amp; Size'!$C$237:$P$237</c:f>
              <c:numCache>
                <c:formatCode>#,##0</c:formatCode>
                <c:ptCount val="14"/>
                <c:pt idx="0">
                  <c:v>345</c:v>
                </c:pt>
                <c:pt idx="1">
                  <c:v>145</c:v>
                </c:pt>
                <c:pt idx="2">
                  <c:v>214</c:v>
                </c:pt>
                <c:pt idx="3">
                  <c:v>432</c:v>
                </c:pt>
                <c:pt idx="4">
                  <c:v>721</c:v>
                </c:pt>
                <c:pt idx="5">
                  <c:v>845</c:v>
                </c:pt>
                <c:pt idx="6">
                  <c:v>735</c:v>
                </c:pt>
                <c:pt idx="7">
                  <c:v>609</c:v>
                </c:pt>
                <c:pt idx="8">
                  <c:v>486</c:v>
                </c:pt>
                <c:pt idx="9">
                  <c:v>296</c:v>
                </c:pt>
                <c:pt idx="10">
                  <c:v>185</c:v>
                </c:pt>
                <c:pt idx="11">
                  <c:v>136</c:v>
                </c:pt>
                <c:pt idx="12">
                  <c:v>91</c:v>
                </c:pt>
                <c:pt idx="13">
                  <c:v>58</c:v>
                </c:pt>
              </c:numCache>
            </c:numRef>
          </c:val>
          <c:extLst>
            <c:ext xmlns:c16="http://schemas.microsoft.com/office/drawing/2014/chart" uri="{C3380CC4-5D6E-409C-BE32-E72D297353CC}">
              <c16:uniqueId val="{00000004-0468-4F61-A254-05C7448C678F}"/>
            </c:ext>
          </c:extLst>
        </c:ser>
        <c:ser>
          <c:idx val="5"/>
          <c:order val="5"/>
          <c:tx>
            <c:strRef>
              <c:f>'[Consett - AECOM HNA Tool v06.09.xlsx]OUTPUT 3 - Type &amp; Size'!$B$238</c:f>
              <c:strCache>
                <c:ptCount val="1"/>
                <c:pt idx="0">
                  <c:v>6 or more bedrooms</c:v>
                </c:pt>
              </c:strCache>
            </c:strRef>
          </c:tx>
          <c:spPr>
            <a:solidFill>
              <a:schemeClr val="accent6"/>
            </a:solidFill>
            <a:ln>
              <a:noFill/>
            </a:ln>
            <a:effectLst/>
          </c:spPr>
          <c:invertIfNegative val="0"/>
          <c:cat>
            <c:strRef>
              <c:f>'[Consett - AECOM HNA Tool v06.09.xlsx]OUTPUT 3 - Type &amp; Size'!$C$232:$P$232</c:f>
              <c:strCache>
                <c:ptCount val="14"/>
                <c:pt idx="0">
                  <c:v>Age 16 to 24</c:v>
                </c:pt>
                <c:pt idx="1">
                  <c:v>Age 25 to 29</c:v>
                </c:pt>
                <c:pt idx="2">
                  <c:v>Age 30 to 34</c:v>
                </c:pt>
                <c:pt idx="3">
                  <c:v>Age 35 to 39</c:v>
                </c:pt>
                <c:pt idx="4">
                  <c:v>Age 40 to 44</c:v>
                </c:pt>
                <c:pt idx="5">
                  <c:v>Age 45 to 49</c:v>
                </c:pt>
                <c:pt idx="6">
                  <c:v>Age 50 to 54</c:v>
                </c:pt>
                <c:pt idx="7">
                  <c:v>Age 55 to 59</c:v>
                </c:pt>
                <c:pt idx="8">
                  <c:v>Age 60 to 64</c:v>
                </c:pt>
                <c:pt idx="9">
                  <c:v>Age 65 to 69</c:v>
                </c:pt>
                <c:pt idx="10">
                  <c:v>Age 70 to 74</c:v>
                </c:pt>
                <c:pt idx="11">
                  <c:v>Age 75 to 79</c:v>
                </c:pt>
                <c:pt idx="12">
                  <c:v>Age 80 to 84</c:v>
                </c:pt>
                <c:pt idx="13">
                  <c:v>Age 85 or over</c:v>
                </c:pt>
              </c:strCache>
            </c:strRef>
          </c:cat>
          <c:val>
            <c:numRef>
              <c:f>'[Consett - AECOM HNA Tool v06.09.xlsx]OUTPUT 3 - Type &amp; Size'!$C$238:$P$238</c:f>
              <c:numCache>
                <c:formatCode>#,##0</c:formatCode>
                <c:ptCount val="14"/>
                <c:pt idx="0">
                  <c:v>289</c:v>
                </c:pt>
                <c:pt idx="1">
                  <c:v>27</c:v>
                </c:pt>
                <c:pt idx="2">
                  <c:v>25</c:v>
                </c:pt>
                <c:pt idx="3">
                  <c:v>72</c:v>
                </c:pt>
                <c:pt idx="4">
                  <c:v>121</c:v>
                </c:pt>
                <c:pt idx="5">
                  <c:v>156</c:v>
                </c:pt>
                <c:pt idx="6">
                  <c:v>145</c:v>
                </c:pt>
                <c:pt idx="7">
                  <c:v>111</c:v>
                </c:pt>
                <c:pt idx="8">
                  <c:v>105</c:v>
                </c:pt>
                <c:pt idx="9">
                  <c:v>57</c:v>
                </c:pt>
                <c:pt idx="10">
                  <c:v>54</c:v>
                </c:pt>
                <c:pt idx="11">
                  <c:v>25</c:v>
                </c:pt>
                <c:pt idx="12">
                  <c:v>19</c:v>
                </c:pt>
                <c:pt idx="13">
                  <c:v>17</c:v>
                </c:pt>
              </c:numCache>
            </c:numRef>
          </c:val>
          <c:extLst>
            <c:ext xmlns:c16="http://schemas.microsoft.com/office/drawing/2014/chart" uri="{C3380CC4-5D6E-409C-BE32-E72D297353CC}">
              <c16:uniqueId val="{00000005-0468-4F61-A254-05C7448C678F}"/>
            </c:ext>
          </c:extLst>
        </c:ser>
        <c:dLbls>
          <c:showLegendKey val="0"/>
          <c:showVal val="0"/>
          <c:showCatName val="0"/>
          <c:showSerName val="0"/>
          <c:showPercent val="0"/>
          <c:showBubbleSize val="0"/>
        </c:dLbls>
        <c:gapWidth val="150"/>
        <c:overlap val="100"/>
        <c:axId val="770975312"/>
        <c:axId val="770974000"/>
      </c:barChart>
      <c:catAx>
        <c:axId val="77097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974000"/>
        <c:crosses val="autoZero"/>
        <c:auto val="1"/>
        <c:lblAlgn val="ctr"/>
        <c:lblOffset val="100"/>
        <c:noMultiLvlLbl val="0"/>
      </c:catAx>
      <c:valAx>
        <c:axId val="770974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97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ECOM2021">
      <a:dk1>
        <a:sysClr val="windowText" lastClr="000000"/>
      </a:dk1>
      <a:lt1>
        <a:sysClr val="window" lastClr="FFFFFF"/>
      </a:lt1>
      <a:dk2>
        <a:srgbClr val="000000"/>
      </a:dk2>
      <a:lt2>
        <a:srgbClr val="FFFFFF"/>
      </a:lt2>
      <a:accent1>
        <a:srgbClr val="008768"/>
      </a:accent1>
      <a:accent2>
        <a:srgbClr val="00353E"/>
      </a:accent2>
      <a:accent3>
        <a:srgbClr val="AECC53"/>
      </a:accent3>
      <a:accent4>
        <a:srgbClr val="E52713"/>
      </a:accent4>
      <a:accent5>
        <a:srgbClr val="009A9B"/>
      </a:accent5>
      <a:accent6>
        <a:srgbClr val="FFCE00"/>
      </a:accent6>
      <a:hlink>
        <a:srgbClr val="C70C6F"/>
      </a:hlink>
      <a:folHlink>
        <a:srgbClr val="9C0880"/>
      </a:folHlink>
    </a:clrScheme>
    <a:fontScheme name="AECOM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3C29FCBBDF7E46AA2383D3166BCD91" ma:contentTypeVersion="22" ma:contentTypeDescription="Create a new document." ma:contentTypeScope="" ma:versionID="4c630f7c661a31f43ebc21b906e47d97">
  <xsd:schema xmlns:xsd="http://www.w3.org/2001/XMLSchema" xmlns:xs="http://www.w3.org/2001/XMLSchema" xmlns:p="http://schemas.microsoft.com/office/2006/metadata/properties" xmlns:ns2="9ff74bce-d058-4a9b-b257-1924142f54d1" xmlns:ns3="bcd6e388-22d0-494b-b0ad-200fe196b208" targetNamespace="http://schemas.microsoft.com/office/2006/metadata/properties" ma:root="true" ma:fieldsID="1653844aabc756bef7db3e378e9e682e" ns2:_="" ns3:_="">
    <xsd:import namespace="9ff74bce-d058-4a9b-b257-1924142f54d1"/>
    <xsd:import namespace="bcd6e388-22d0-494b-b0ad-200fe196b2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IMAGE" minOccurs="0"/>
                <xsd:element ref="ns2:MediaServiceObjectDetectorVersions" minOccurs="0"/>
                <xsd:element ref="ns2:REMARK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74bce-d058-4a9b-b257-1924142f54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166aa50-2606-4bee-b14b-7e98c91f201a" ma:termSetId="09814cd3-568e-fe90-9814-8d621ff8fb84" ma:anchorId="fba54fb3-c3e1-fe81-a776-ca4b69148c4d" ma:open="true" ma:isKeyword="false">
      <xsd:complexType>
        <xsd:sequence>
          <xsd:element ref="pc:Terms" minOccurs="0" maxOccurs="1"/>
        </xsd:sequence>
      </xsd:complexType>
    </xsd:element>
    <xsd:element name="IMAGE" ma:index="24" nillable="true" ma:displayName="IMAGE" ma:format="Thumbnail" ma:internalName="IMAGE">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REMARKS" ma:index="26" nillable="true" ma:displayName="REMARKS" ma:format="Dropdown" ma:internalName="REMARKS">
      <xsd:simpleType>
        <xsd:restriction base="dms:Text">
          <xsd:maxLength value="255"/>
        </xsd:restriction>
      </xsd:simpleType>
    </xsd:element>
    <xsd:element name="_Flow_SignoffStatus" ma:index="27" nillable="true" ma:displayName="Sign-off status" ma:internalName="Sign_x002d_off_x0020_status">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e388-22d0-494b-b0ad-200fe196b20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4ddd9e-46b0-413b-be2b-4be2e6d270fc}" ma:internalName="TaxCatchAll" ma:showField="CatchAllData" ma:web="bcd6e388-22d0-494b-b0ad-200fe196b2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ff74bce-d058-4a9b-b257-1924142f54d1">
      <Terms xmlns="http://schemas.microsoft.com/office/infopath/2007/PartnerControls"/>
    </lcf76f155ced4ddcb4097134ff3c332f>
    <TaxCatchAll xmlns="bcd6e388-22d0-494b-b0ad-200fe196b208" xsi:nil="true"/>
    <IMAGE xmlns="9ff74bce-d058-4a9b-b257-1924142f54d1" xsi:nil="true"/>
    <REMARKS xmlns="9ff74bce-d058-4a9b-b257-1924142f54d1" xsi:nil="true"/>
    <_Flow_SignoffStatus xmlns="9ff74bce-d058-4a9b-b257-1924142f54d1" xsi:nil="true"/>
  </documentManagement>
</p:properties>
</file>

<file path=customXml/itemProps1.xml><?xml version="1.0" encoding="utf-8"?>
<ds:datastoreItem xmlns:ds="http://schemas.openxmlformats.org/officeDocument/2006/customXml" ds:itemID="{B923FF86-2BCB-4B2D-A13E-28485DB04BD4}">
  <ds:schemaRefs>
    <ds:schemaRef ds:uri="http://schemas.microsoft.com/sharepoint/v3/contenttype/forms"/>
  </ds:schemaRefs>
</ds:datastoreItem>
</file>

<file path=customXml/itemProps2.xml><?xml version="1.0" encoding="utf-8"?>
<ds:datastoreItem xmlns:ds="http://schemas.openxmlformats.org/officeDocument/2006/customXml" ds:itemID="{B98CCE7D-A1C1-4BE1-B58A-E68ECEB2A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74bce-d058-4a9b-b257-1924142f54d1"/>
    <ds:schemaRef ds:uri="bcd6e388-22d0-494b-b0ad-200fe196b2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F1859D-971B-4AC8-891A-C21BC63CDF79}">
  <ds:schemaRefs>
    <ds:schemaRef ds:uri="http://schemas.openxmlformats.org/officeDocument/2006/bibliography"/>
  </ds:schemaRefs>
</ds:datastoreItem>
</file>

<file path=customXml/itemProps4.xml><?xml version="1.0" encoding="utf-8"?>
<ds:datastoreItem xmlns:ds="http://schemas.openxmlformats.org/officeDocument/2006/customXml" ds:itemID="{4C94A66E-3070-4049-872E-F6948A548387}">
  <ds:schemaRefs>
    <ds:schemaRef ds:uri="http://schemas.microsoft.com/office/2006/metadata/properties"/>
    <ds:schemaRef ds:uri="http://schemas.microsoft.com/office/infopath/2007/PartnerControls"/>
    <ds:schemaRef ds:uri="9ff74bce-d058-4a9b-b257-1924142f54d1"/>
    <ds:schemaRef ds:uri="bcd6e388-22d0-494b-b0ad-200fe196b208"/>
  </ds:schemaRefs>
</ds:datastoreItem>
</file>

<file path=docProps/app.xml><?xml version="1.0" encoding="utf-8"?>
<Properties xmlns="http://schemas.openxmlformats.org/officeDocument/2006/extended-properties" xmlns:vt="http://schemas.openxmlformats.org/officeDocument/2006/docPropsVTypes">
  <Template>AECOM_Report</Template>
  <TotalTime>3</TotalTime>
  <Pages>1</Pages>
  <Words>26664</Words>
  <Characters>151990</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Report [NA Name] 2021-07-19</vt:lpstr>
    </vt:vector>
  </TitlesOfParts>
  <Company>AECOM Infrastructure &amp; Environment UK Limited</Company>
  <LinksUpToDate>false</LinksUpToDate>
  <CharactersWithSpaces>178298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[NA Name] 2021-07-19</dc:title>
  <dc:subject/>
  <dc:creator>Cooke, Jessica</dc:creator>
  <cp:keywords>Project ref:   Project number:</cp:keywords>
  <cp:lastModifiedBy>Christine Thomas</cp:lastModifiedBy>
  <cp:revision>5</cp:revision>
  <cp:lastPrinted>2016-04-12T10:07:00Z</cp:lastPrinted>
  <dcterms:created xsi:type="dcterms:W3CDTF">2024-12-17T15:00:00Z</dcterms:created>
  <dcterms:modified xsi:type="dcterms:W3CDTF">2024-12-18T11:18:00Z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AECOM_Report</vt:lpwstr>
  </property>
  <property fmtid="{D5CDD505-2E9C-101B-9397-08002B2CF9AE}" pid="3" name="TemplateVersion">
    <vt:lpwstr>3.1</vt:lpwstr>
  </property>
  <property fmtid="{D5CDD505-2E9C-101B-9397-08002B2CF9AE}" pid="4" name="HeaderTitle">
    <vt:lpwstr>[NA Name]</vt:lpwstr>
  </property>
  <property fmtid="{D5CDD505-2E9C-101B-9397-08002B2CF9AE}" pid="5" name="ProtectiveMarking">
    <vt:lpwstr/>
  </property>
  <property fmtid="{D5CDD505-2E9C-101B-9397-08002B2CF9AE}" pid="6" name="HeaderClient">
    <vt:lpwstr> </vt:lpwstr>
  </property>
  <property fmtid="{D5CDD505-2E9C-101B-9397-08002B2CF9AE}" pid="7" name="AdditionalCompanyName">
    <vt:lpwstr/>
  </property>
  <property fmtid="{D5CDD505-2E9C-101B-9397-08002B2CF9AE}" pid="8" name="ClientName">
    <vt:lpwstr/>
  </property>
  <property fmtid="{D5CDD505-2E9C-101B-9397-08002B2CF9AE}" pid="9" name="TenderStage">
    <vt:lpwstr/>
  </property>
  <property fmtid="{D5CDD505-2E9C-101B-9397-08002B2CF9AE}" pid="10" name="ProjectRef">
    <vt:lpwstr> </vt:lpwstr>
  </property>
  <property fmtid="{D5CDD505-2E9C-101B-9397-08002B2CF9AE}" pid="11" name="ProjectNumber">
    <vt:lpwstr> </vt:lpwstr>
  </property>
  <property fmtid="{D5CDD505-2E9C-101B-9397-08002B2CF9AE}" pid="12" name="CopyNo">
    <vt:lpwstr>&lt;CopyNo&gt;</vt:lpwstr>
  </property>
  <property fmtid="{D5CDD505-2E9C-101B-9397-08002B2CF9AE}" pid="13" name="CopyNoTotal">
    <vt:lpwstr>&lt;CopyNoTotal&gt;</vt:lpwstr>
  </property>
  <property fmtid="{D5CDD505-2E9C-101B-9397-08002B2CF9AE}" pid="14" name="SupplementaryTitle">
    <vt:lpwstr/>
  </property>
  <property fmtid="{D5CDD505-2E9C-101B-9397-08002B2CF9AE}" pid="15" name="Subtitle">
    <vt:lpwstr>Housing Needs Assessment (HNA)</vt:lpwstr>
  </property>
  <property fmtid="{D5CDD505-2E9C-101B-9397-08002B2CF9AE}" pid="16" name="DocumentReference">
    <vt:lpwstr/>
  </property>
  <property fmtid="{D5CDD505-2E9C-101B-9397-08002B2CF9AE}" pid="17" name="Date">
    <vt:lpwstr>[month and year]</vt:lpwstr>
  </property>
  <property fmtid="{D5CDD505-2E9C-101B-9397-08002B2CF9AE}" pid="18" name="Copies">
    <vt:lpwstr/>
  </property>
  <property fmtid="{D5CDD505-2E9C-101B-9397-08002B2CF9AE}" pid="19" name="ProjectRefSlash">
    <vt:lpwstr> / </vt:lpwstr>
  </property>
  <property fmtid="{D5CDD505-2E9C-101B-9397-08002B2CF9AE}" pid="20" name="DocumentTitle">
    <vt:lpwstr>[NA Name]</vt:lpwstr>
  </property>
  <property fmtid="{D5CDD505-2E9C-101B-9397-08002B2CF9AE}" pid="21" name="FooterClientAddress">
    <vt:lpwstr/>
  </property>
  <property fmtid="{D5CDD505-2E9C-101B-9397-08002B2CF9AE}" pid="22" name="ClientNumber">
    <vt:lpwstr> </vt:lpwstr>
  </property>
  <property fmtid="{D5CDD505-2E9C-101B-9397-08002B2CF9AE}" pid="23" name="Draft">
    <vt:lpwstr> </vt:lpwstr>
  </property>
  <property fmtid="{D5CDD505-2E9C-101B-9397-08002B2CF9AE}" pid="24" name="AccreditationText">
    <vt:lpwstr/>
  </property>
  <property fmtid="{D5CDD505-2E9C-101B-9397-08002B2CF9AE}" pid="25" name="GreenInitiative">
    <vt:lpwstr/>
  </property>
  <property fmtid="{D5CDD505-2E9C-101B-9397-08002B2CF9AE}" pid="26" name="PreparedBy">
    <vt:lpwstr>&lt;PreparedBy&gt;</vt:lpwstr>
  </property>
  <property fmtid="{D5CDD505-2E9C-101B-9397-08002B2CF9AE}" pid="27" name="ShowFilePath">
    <vt:lpwstr>0</vt:lpwstr>
  </property>
  <property fmtid="{D5CDD505-2E9C-101B-9397-08002B2CF9AE}" pid="28" name="PreparedFor">
    <vt:lpwstr> </vt:lpwstr>
  </property>
  <property fmtid="{D5CDD505-2E9C-101B-9397-08002B2CF9AE}" pid="29" name="InAssociationWith">
    <vt:lpwstr> </vt:lpwstr>
  </property>
  <property fmtid="{D5CDD505-2E9C-101B-9397-08002B2CF9AE}" pid="30" name="ShowFileName">
    <vt:lpwstr>0</vt:lpwstr>
  </property>
  <property fmtid="{D5CDD505-2E9C-101B-9397-08002B2CF9AE}" pid="31" name="ContentTypeId">
    <vt:lpwstr>0x010100583C29FCBBDF7E46AA2383D3166BCD91</vt:lpwstr>
  </property>
  <property fmtid="{D5CDD505-2E9C-101B-9397-08002B2CF9AE}" pid="32" name="Order">
    <vt:r8>100</vt:r8>
  </property>
  <property fmtid="{D5CDD505-2E9C-101B-9397-08002B2CF9AE}" pid="33" name="MediaServiceImageTags">
    <vt:lpwstr/>
  </property>
</Properties>
</file>